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88E3B" w14:textId="77777777" w:rsidR="00193F50" w:rsidRPr="00685358" w:rsidRDefault="00193F50" w:rsidP="00193F50">
      <w:pPr>
        <w:rPr>
          <w:b/>
          <w:bCs/>
          <w:sz w:val="32"/>
          <w:szCs w:val="32"/>
        </w:rPr>
      </w:pPr>
      <w:r w:rsidRPr="00685358">
        <w:rPr>
          <w:b/>
          <w:bCs/>
          <w:sz w:val="32"/>
          <w:szCs w:val="32"/>
        </w:rPr>
        <w:t>Potential Components of a Measure Testing Summary</w:t>
      </w:r>
    </w:p>
    <w:p w14:paraId="3429312F" w14:textId="77777777" w:rsidR="0090644F" w:rsidRDefault="0090644F"/>
    <w:tbl>
      <w:tblPr>
        <w:tblStyle w:val="TableGrid"/>
        <w:tblW w:w="13500" w:type="dxa"/>
        <w:tblInd w:w="-275" w:type="dxa"/>
        <w:tblLook w:val="04A0" w:firstRow="1" w:lastRow="0" w:firstColumn="1" w:lastColumn="0" w:noHBand="0" w:noVBand="1"/>
      </w:tblPr>
      <w:tblGrid>
        <w:gridCol w:w="7470"/>
        <w:gridCol w:w="6030"/>
      </w:tblGrid>
      <w:tr w:rsidR="00193F50" w:rsidRPr="000229AE" w14:paraId="761F9BC0" w14:textId="77777777" w:rsidTr="00094780">
        <w:trPr>
          <w:trHeight w:val="312"/>
          <w:tblHeader/>
        </w:trPr>
        <w:tc>
          <w:tcPr>
            <w:tcW w:w="7470" w:type="dxa"/>
            <w:shd w:val="clear" w:color="auto" w:fill="00529B"/>
            <w:noWrap/>
            <w:hideMark/>
          </w:tcPr>
          <w:p w14:paraId="4E602E91" w14:textId="77777777" w:rsidR="00193F50" w:rsidRPr="000229AE" w:rsidRDefault="00193F50" w:rsidP="00094780">
            <w:pPr>
              <w:tabs>
                <w:tab w:val="left" w:pos="6373"/>
              </w:tabs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  <w:t>Summary</w:t>
            </w:r>
            <w:r w:rsidRPr="00017F15"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  <w:tab/>
            </w:r>
          </w:p>
        </w:tc>
        <w:tc>
          <w:tcPr>
            <w:tcW w:w="6030" w:type="dxa"/>
            <w:shd w:val="clear" w:color="auto" w:fill="00529B"/>
          </w:tcPr>
          <w:p w14:paraId="5AE74A70" w14:textId="77777777" w:rsidR="00193F50" w:rsidRPr="000229AE" w:rsidRDefault="00193F50" w:rsidP="00094780">
            <w:pPr>
              <w:tabs>
                <w:tab w:val="left" w:pos="6373"/>
              </w:tabs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  <w:t>Notes</w:t>
            </w:r>
          </w:p>
        </w:tc>
      </w:tr>
      <w:tr w:rsidR="00193F50" w:rsidRPr="000229AE" w14:paraId="52026918" w14:textId="77777777" w:rsidTr="00094780">
        <w:trPr>
          <w:trHeight w:val="288"/>
        </w:trPr>
        <w:tc>
          <w:tcPr>
            <w:tcW w:w="7470" w:type="dxa"/>
            <w:shd w:val="clear" w:color="auto" w:fill="F1F9FD"/>
            <w:hideMark/>
          </w:tcPr>
          <w:p w14:paraId="35A718A0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Name of measure or measure set</w:t>
            </w:r>
          </w:p>
        </w:tc>
        <w:tc>
          <w:tcPr>
            <w:tcW w:w="6030" w:type="dxa"/>
            <w:shd w:val="clear" w:color="auto" w:fill="F1F9FD"/>
          </w:tcPr>
          <w:p w14:paraId="66687FF9" w14:textId="77777777" w:rsidR="00193F50" w:rsidRPr="000229AE" w:rsidRDefault="00193F50" w:rsidP="00094780">
            <w:pPr>
              <w:ind w:firstLineChars="100" w:firstLine="22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49D85950" w14:textId="77777777" w:rsidTr="00094780">
        <w:trPr>
          <w:trHeight w:val="288"/>
        </w:trPr>
        <w:tc>
          <w:tcPr>
            <w:tcW w:w="7470" w:type="dxa"/>
            <w:shd w:val="clear" w:color="auto" w:fill="F1F9FD"/>
            <w:hideMark/>
          </w:tcPr>
          <w:p w14:paraId="41869E4D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Executive summary of tests and resulting recommendations</w:t>
            </w:r>
          </w:p>
        </w:tc>
        <w:tc>
          <w:tcPr>
            <w:tcW w:w="6030" w:type="dxa"/>
            <w:shd w:val="clear" w:color="auto" w:fill="F1F9FD"/>
          </w:tcPr>
          <w:p w14:paraId="6473CEFB" w14:textId="77777777" w:rsidR="00193F50" w:rsidRPr="000229AE" w:rsidRDefault="00193F50" w:rsidP="00094780">
            <w:pPr>
              <w:ind w:firstLineChars="100" w:firstLine="22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2468CDF9" w14:textId="77777777" w:rsidTr="00094780">
        <w:trPr>
          <w:trHeight w:val="576"/>
        </w:trPr>
        <w:tc>
          <w:tcPr>
            <w:tcW w:w="7470" w:type="dxa"/>
            <w:shd w:val="clear" w:color="auto" w:fill="F1F9FD"/>
            <w:hideMark/>
          </w:tcPr>
          <w:p w14:paraId="0BE71BA5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Type of testing conducted (i.e., alpha or beta), and overview of testing scope</w:t>
            </w:r>
          </w:p>
        </w:tc>
        <w:tc>
          <w:tcPr>
            <w:tcW w:w="6030" w:type="dxa"/>
            <w:shd w:val="clear" w:color="auto" w:fill="F1F9FD"/>
          </w:tcPr>
          <w:p w14:paraId="3C1C4AA7" w14:textId="77777777" w:rsidR="00193F50" w:rsidRPr="000229AE" w:rsidRDefault="00193F50" w:rsidP="00094780">
            <w:pPr>
              <w:ind w:firstLineChars="100" w:firstLine="22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45F0872A" w14:textId="77777777" w:rsidTr="00094780">
        <w:trPr>
          <w:trHeight w:val="576"/>
        </w:trPr>
        <w:tc>
          <w:tcPr>
            <w:tcW w:w="7470" w:type="dxa"/>
            <w:shd w:val="clear" w:color="auto" w:fill="F1F9FD"/>
            <w:hideMark/>
          </w:tcPr>
          <w:p w14:paraId="63B2931C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Description of any deviation from the work plan along with rationale for deviation</w:t>
            </w:r>
          </w:p>
        </w:tc>
        <w:tc>
          <w:tcPr>
            <w:tcW w:w="6030" w:type="dxa"/>
            <w:shd w:val="clear" w:color="auto" w:fill="F1F9FD"/>
          </w:tcPr>
          <w:p w14:paraId="54C28837" w14:textId="77777777" w:rsidR="00193F50" w:rsidRPr="000229AE" w:rsidRDefault="00193F50" w:rsidP="00094780">
            <w:pPr>
              <w:ind w:firstLineChars="100" w:firstLine="22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0D087E94" w14:textId="77777777" w:rsidTr="00094780">
        <w:trPr>
          <w:trHeight w:val="288"/>
        </w:trPr>
        <w:tc>
          <w:tcPr>
            <w:tcW w:w="7470" w:type="dxa"/>
            <w:shd w:val="clear" w:color="auto" w:fill="F1F9FD"/>
            <w:hideMark/>
          </w:tcPr>
          <w:p w14:paraId="377E204A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Data collection and management method(s)</w:t>
            </w:r>
          </w:p>
        </w:tc>
        <w:tc>
          <w:tcPr>
            <w:tcW w:w="6030" w:type="dxa"/>
            <w:shd w:val="clear" w:color="auto" w:fill="F1F9FD"/>
          </w:tcPr>
          <w:p w14:paraId="7CA97C0A" w14:textId="77777777" w:rsidR="00193F50" w:rsidRPr="000229AE" w:rsidRDefault="00193F50" w:rsidP="00094780">
            <w:pPr>
              <w:ind w:firstLineChars="100" w:firstLine="22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22C286AC" w14:textId="77777777" w:rsidTr="00094780">
        <w:trPr>
          <w:trHeight w:val="576"/>
        </w:trPr>
        <w:tc>
          <w:tcPr>
            <w:tcW w:w="7470" w:type="dxa"/>
            <w:shd w:val="clear" w:color="auto" w:fill="F1F9FD"/>
            <w:hideMark/>
          </w:tcPr>
          <w:p w14:paraId="19EC9975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Description of test population(s) and description of test sites, if applicable</w:t>
            </w:r>
          </w:p>
        </w:tc>
        <w:tc>
          <w:tcPr>
            <w:tcW w:w="6030" w:type="dxa"/>
            <w:shd w:val="clear" w:color="auto" w:fill="F1F9FD"/>
          </w:tcPr>
          <w:p w14:paraId="24C7DEFE" w14:textId="77777777" w:rsidR="00193F50" w:rsidRPr="000229AE" w:rsidRDefault="00193F50" w:rsidP="00094780">
            <w:pPr>
              <w:ind w:firstLineChars="100" w:firstLine="22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08E83A9F" w14:textId="77777777" w:rsidTr="00094780">
        <w:trPr>
          <w:trHeight w:val="288"/>
        </w:trPr>
        <w:tc>
          <w:tcPr>
            <w:tcW w:w="7470" w:type="dxa"/>
            <w:shd w:val="clear" w:color="auto" w:fill="F1F9FD"/>
            <w:hideMark/>
          </w:tcPr>
          <w:p w14:paraId="1BB54A81" w14:textId="77777777" w:rsidR="00193F50" w:rsidRPr="002F7A8C" w:rsidRDefault="00193F50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2F7A8C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Description of test data elements, including type and source</w:t>
            </w:r>
          </w:p>
        </w:tc>
        <w:tc>
          <w:tcPr>
            <w:tcW w:w="6030" w:type="dxa"/>
            <w:shd w:val="clear" w:color="auto" w:fill="F1F9FD"/>
          </w:tcPr>
          <w:p w14:paraId="14F7FE6C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0CC5179F" w14:textId="77777777" w:rsidTr="00094780">
        <w:trPr>
          <w:trHeight w:val="576"/>
        </w:trPr>
        <w:tc>
          <w:tcPr>
            <w:tcW w:w="7470" w:type="dxa"/>
            <w:shd w:val="clear" w:color="auto" w:fill="F1F9FD"/>
            <w:hideMark/>
          </w:tcPr>
          <w:p w14:paraId="501DA0E1" w14:textId="77777777" w:rsidR="00193F50" w:rsidRPr="000229AE" w:rsidRDefault="00193F50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Data source description (and export/translation processes, if applicable)</w:t>
            </w:r>
          </w:p>
        </w:tc>
        <w:tc>
          <w:tcPr>
            <w:tcW w:w="6030" w:type="dxa"/>
            <w:shd w:val="clear" w:color="auto" w:fill="F1F9FD"/>
          </w:tcPr>
          <w:p w14:paraId="1BB1BDA5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428046F0" w14:textId="77777777" w:rsidTr="00094780">
        <w:trPr>
          <w:trHeight w:val="288"/>
        </w:trPr>
        <w:tc>
          <w:tcPr>
            <w:tcW w:w="7470" w:type="dxa"/>
            <w:shd w:val="clear" w:color="auto" w:fill="F1F9FD"/>
            <w:hideMark/>
          </w:tcPr>
          <w:p w14:paraId="0027D67A" w14:textId="77777777" w:rsidR="00193F50" w:rsidRPr="000229AE" w:rsidRDefault="00193F50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Sampling methodology, if applicable</w:t>
            </w:r>
          </w:p>
        </w:tc>
        <w:tc>
          <w:tcPr>
            <w:tcW w:w="6030" w:type="dxa"/>
            <w:shd w:val="clear" w:color="auto" w:fill="F1F9FD"/>
          </w:tcPr>
          <w:p w14:paraId="135BC424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416AB3AB" w14:textId="77777777" w:rsidTr="00094780">
        <w:trPr>
          <w:trHeight w:val="576"/>
        </w:trPr>
        <w:tc>
          <w:tcPr>
            <w:tcW w:w="7470" w:type="dxa"/>
            <w:shd w:val="clear" w:color="auto" w:fill="F1F9FD"/>
            <w:hideMark/>
          </w:tcPr>
          <w:p w14:paraId="4E2E2D53" w14:textId="18D9EF9C" w:rsidR="00193F50" w:rsidRPr="000229AE" w:rsidRDefault="00193F50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Description of denominator exclusions</w:t>
            </w:r>
            <w:r w:rsidR="005C2DE2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 xml:space="preserve"> </w:t>
            </w: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and/or numerator exclusions, if applicable</w:t>
            </w:r>
          </w:p>
        </w:tc>
        <w:tc>
          <w:tcPr>
            <w:tcW w:w="6030" w:type="dxa"/>
            <w:shd w:val="clear" w:color="auto" w:fill="F1F9FD"/>
          </w:tcPr>
          <w:p w14:paraId="5C8DA7C9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038069AF" w14:textId="77777777" w:rsidTr="00094780">
        <w:trPr>
          <w:trHeight w:val="864"/>
        </w:trPr>
        <w:tc>
          <w:tcPr>
            <w:tcW w:w="7470" w:type="dxa"/>
            <w:shd w:val="clear" w:color="auto" w:fill="F1F9FD"/>
            <w:hideMark/>
          </w:tcPr>
          <w:p w14:paraId="357B854F" w14:textId="77777777" w:rsidR="00193F50" w:rsidRPr="000229AE" w:rsidRDefault="00193F50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Patient medical record review process, if applicable, including abstractor/reviewer qualifications and training, and process for adjudication of discrepancies between abstractors/reviewers</w:t>
            </w:r>
          </w:p>
        </w:tc>
        <w:tc>
          <w:tcPr>
            <w:tcW w:w="6030" w:type="dxa"/>
            <w:shd w:val="clear" w:color="auto" w:fill="F1F9FD"/>
          </w:tcPr>
          <w:p w14:paraId="5EB5E789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17C62966" w14:textId="77777777" w:rsidTr="00094780">
        <w:trPr>
          <w:trHeight w:val="576"/>
        </w:trPr>
        <w:tc>
          <w:tcPr>
            <w:tcW w:w="7470" w:type="dxa"/>
            <w:shd w:val="clear" w:color="auto" w:fill="F1F9FD"/>
            <w:hideMark/>
          </w:tcPr>
          <w:p w14:paraId="70631C2A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Detailed description of measure specifications and measure score calculations</w:t>
            </w:r>
          </w:p>
        </w:tc>
        <w:tc>
          <w:tcPr>
            <w:tcW w:w="6030" w:type="dxa"/>
            <w:shd w:val="clear" w:color="auto" w:fill="F1F9FD"/>
          </w:tcPr>
          <w:p w14:paraId="253C5CF0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6D64CF9C" w14:textId="77777777" w:rsidTr="00094780">
        <w:trPr>
          <w:trHeight w:val="288"/>
        </w:trPr>
        <w:tc>
          <w:tcPr>
            <w:tcW w:w="7470" w:type="dxa"/>
            <w:shd w:val="clear" w:color="auto" w:fill="F1F9FD"/>
            <w:hideMark/>
          </w:tcPr>
          <w:p w14:paraId="282EE91A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Description of the analysis conducted, including</w:t>
            </w:r>
          </w:p>
        </w:tc>
        <w:tc>
          <w:tcPr>
            <w:tcW w:w="6030" w:type="dxa"/>
            <w:shd w:val="clear" w:color="auto" w:fill="F1F9FD"/>
          </w:tcPr>
          <w:p w14:paraId="2AB14305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612DE555" w14:textId="77777777" w:rsidTr="00094780">
        <w:trPr>
          <w:trHeight w:val="864"/>
        </w:trPr>
        <w:tc>
          <w:tcPr>
            <w:tcW w:w="7470" w:type="dxa"/>
            <w:shd w:val="clear" w:color="auto" w:fill="F1F9FD"/>
            <w:hideMark/>
          </w:tcPr>
          <w:p w14:paraId="4F7D87BC" w14:textId="77777777" w:rsidR="00193F50" w:rsidRPr="000229AE" w:rsidRDefault="00193F50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Summary statistics (e.g., means, medians, denominators, numerators, descriptive statistics for denominator/numerator exclusions)</w:t>
            </w:r>
          </w:p>
        </w:tc>
        <w:tc>
          <w:tcPr>
            <w:tcW w:w="6030" w:type="dxa"/>
            <w:shd w:val="clear" w:color="auto" w:fill="F1F9FD"/>
          </w:tcPr>
          <w:p w14:paraId="1DCD1F13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4560DBE8" w14:textId="77777777" w:rsidTr="00094780">
        <w:trPr>
          <w:trHeight w:val="864"/>
        </w:trPr>
        <w:tc>
          <w:tcPr>
            <w:tcW w:w="7470" w:type="dxa"/>
            <w:shd w:val="clear" w:color="auto" w:fill="F1F9FD"/>
          </w:tcPr>
          <w:p w14:paraId="38C3C805" w14:textId="1D0A1F01" w:rsidR="00193F50" w:rsidRPr="000229AE" w:rsidRDefault="00000000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hyperlink r:id="rId8" w:history="1">
              <w:r w:rsidR="00193F50" w:rsidRPr="00CA0558">
                <w:rPr>
                  <w:rStyle w:val="Hyperlink"/>
                  <w:rFonts w:ascii="Aptos" w:eastAsia="Times New Roman" w:hAnsi="Aptos" w:cs="Times New Roman"/>
                  <w:kern w:val="0"/>
                  <w:lang w:bidi="ar-SA"/>
                  <w14:ligatures w14:val="none"/>
                </w:rPr>
                <w:t>Measure Evaluation Criteria</w:t>
              </w:r>
            </w:hyperlink>
          </w:p>
        </w:tc>
        <w:tc>
          <w:tcPr>
            <w:tcW w:w="6030" w:type="dxa"/>
            <w:shd w:val="clear" w:color="auto" w:fill="F1F9FD"/>
          </w:tcPr>
          <w:p w14:paraId="49DD2EFF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49F005F9" w14:textId="77777777" w:rsidTr="00094780">
        <w:trPr>
          <w:trHeight w:val="864"/>
        </w:trPr>
        <w:tc>
          <w:tcPr>
            <w:tcW w:w="7470" w:type="dxa"/>
            <w:shd w:val="clear" w:color="auto" w:fill="F1F9FD"/>
            <w:hideMark/>
          </w:tcPr>
          <w:p w14:paraId="2FE12302" w14:textId="77777777" w:rsidR="00193F50" w:rsidRPr="000229AE" w:rsidRDefault="00193F50" w:rsidP="003D62D7">
            <w:pPr>
              <w:pStyle w:val="ListParagraph"/>
              <w:numPr>
                <w:ilvl w:val="1"/>
                <w:numId w:val="3"/>
              </w:numPr>
              <w:ind w:left="1368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lastRenderedPageBreak/>
              <w:t>Importance—specific analyses demonstrating importance, such as suboptimal performance for a large proportion of comparison groups and analysis of differences between comparison groups</w:t>
            </w:r>
          </w:p>
        </w:tc>
        <w:tc>
          <w:tcPr>
            <w:tcW w:w="6030" w:type="dxa"/>
            <w:shd w:val="clear" w:color="auto" w:fill="F1F9FD"/>
          </w:tcPr>
          <w:p w14:paraId="6B08C164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46A70A1E" w14:textId="77777777" w:rsidTr="00094780">
        <w:trPr>
          <w:trHeight w:val="288"/>
        </w:trPr>
        <w:tc>
          <w:tcPr>
            <w:tcW w:w="7470" w:type="dxa"/>
            <w:shd w:val="clear" w:color="auto" w:fill="F1F9FD"/>
            <w:hideMark/>
          </w:tcPr>
          <w:p w14:paraId="182209FC" w14:textId="77777777" w:rsidR="00193F50" w:rsidRPr="000229AE" w:rsidRDefault="00193F50" w:rsidP="003D62D7">
            <w:pPr>
              <w:pStyle w:val="ListParagraph"/>
              <w:numPr>
                <w:ilvl w:val="1"/>
                <w:numId w:val="2"/>
              </w:numPr>
              <w:ind w:left="1368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Scientific acceptability</w:t>
            </w:r>
          </w:p>
        </w:tc>
        <w:tc>
          <w:tcPr>
            <w:tcW w:w="6030" w:type="dxa"/>
            <w:shd w:val="clear" w:color="auto" w:fill="F1F9FD"/>
          </w:tcPr>
          <w:p w14:paraId="6CE5CAEE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1F970DEB" w14:textId="77777777" w:rsidTr="00094780">
        <w:trPr>
          <w:trHeight w:val="864"/>
        </w:trPr>
        <w:tc>
          <w:tcPr>
            <w:tcW w:w="7470" w:type="dxa"/>
            <w:shd w:val="clear" w:color="auto" w:fill="F1F9FD"/>
            <w:hideMark/>
          </w:tcPr>
          <w:p w14:paraId="113BEBE8" w14:textId="77777777" w:rsidR="00193F50" w:rsidRPr="000229AE" w:rsidRDefault="00193F50" w:rsidP="003D62D7">
            <w:pPr>
              <w:pStyle w:val="ListParagraph"/>
              <w:numPr>
                <w:ilvl w:val="2"/>
                <w:numId w:val="4"/>
              </w:numPr>
              <w:ind w:left="2088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Reliability—description of reliability statistics and assessment of adequacy in terms of norms for the tests, and rationale for analysis approach</w:t>
            </w:r>
          </w:p>
        </w:tc>
        <w:tc>
          <w:tcPr>
            <w:tcW w:w="6030" w:type="dxa"/>
            <w:shd w:val="clear" w:color="auto" w:fill="F1F9FD"/>
          </w:tcPr>
          <w:p w14:paraId="42D5CFF0" w14:textId="77777777" w:rsidR="00193F50" w:rsidRPr="00A3097B" w:rsidRDefault="00193F50" w:rsidP="00094780">
            <w:pPr>
              <w:ind w:left="108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48642281" w14:textId="77777777" w:rsidTr="00094780">
        <w:trPr>
          <w:trHeight w:val="1728"/>
        </w:trPr>
        <w:tc>
          <w:tcPr>
            <w:tcW w:w="7470" w:type="dxa"/>
            <w:shd w:val="clear" w:color="auto" w:fill="F1F9FD"/>
            <w:hideMark/>
          </w:tcPr>
          <w:p w14:paraId="00FDC126" w14:textId="77777777" w:rsidR="00193F50" w:rsidRPr="000229AE" w:rsidRDefault="00193F50" w:rsidP="003D62D7">
            <w:pPr>
              <w:pStyle w:val="ListParagraph"/>
              <w:numPr>
                <w:ilvl w:val="2"/>
                <w:numId w:val="1"/>
              </w:numPr>
              <w:ind w:left="2088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Validity—specific analyses and findings related to any changes observed relative to analyses reported during the prior assessment/endorsement process, or changes observed based on revisions to the measure; these may include assessment of adequacy in terms of norms for the tests conducted, panel consensus findings, and rationale for analysis approach</w:t>
            </w:r>
          </w:p>
        </w:tc>
        <w:tc>
          <w:tcPr>
            <w:tcW w:w="6030" w:type="dxa"/>
            <w:shd w:val="clear" w:color="auto" w:fill="F1F9FD"/>
          </w:tcPr>
          <w:p w14:paraId="21E77AF1" w14:textId="77777777" w:rsidR="00193F50" w:rsidRPr="00A3097B" w:rsidRDefault="00193F50" w:rsidP="00094780">
            <w:pPr>
              <w:ind w:left="108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A3097B" w14:paraId="36681F78" w14:textId="77777777" w:rsidTr="00094780">
        <w:trPr>
          <w:trHeight w:val="864"/>
        </w:trPr>
        <w:tc>
          <w:tcPr>
            <w:tcW w:w="7470" w:type="dxa"/>
            <w:shd w:val="clear" w:color="auto" w:fill="F1F9FD"/>
            <w:hideMark/>
          </w:tcPr>
          <w:p w14:paraId="448C819F" w14:textId="77777777" w:rsidR="00193F50" w:rsidRPr="000229AE" w:rsidRDefault="00193F50" w:rsidP="003D62D7">
            <w:pPr>
              <w:pStyle w:val="ListParagraph"/>
              <w:numPr>
                <w:ilvl w:val="1"/>
                <w:numId w:val="3"/>
              </w:numPr>
              <w:ind w:left="1368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Feasibility—discussion of feasibility challenges and adjustments made to facilitate obtaining measure results, and description of estimated costs or burden of data collection</w:t>
            </w:r>
          </w:p>
        </w:tc>
        <w:tc>
          <w:tcPr>
            <w:tcW w:w="6030" w:type="dxa"/>
            <w:shd w:val="clear" w:color="auto" w:fill="F1F9FD"/>
          </w:tcPr>
          <w:p w14:paraId="5D558F52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A3097B" w14:paraId="6FC36CAB" w14:textId="77777777" w:rsidTr="00094780">
        <w:trPr>
          <w:trHeight w:val="1152"/>
        </w:trPr>
        <w:tc>
          <w:tcPr>
            <w:tcW w:w="7470" w:type="dxa"/>
            <w:shd w:val="clear" w:color="auto" w:fill="F1F9FD"/>
            <w:hideMark/>
          </w:tcPr>
          <w:p w14:paraId="538C20E6" w14:textId="77777777" w:rsidR="00193F50" w:rsidRPr="000229AE" w:rsidRDefault="00193F50" w:rsidP="003D62D7">
            <w:pPr>
              <w:pStyle w:val="ListParagraph"/>
              <w:numPr>
                <w:ilvl w:val="1"/>
                <w:numId w:val="3"/>
              </w:numPr>
              <w:ind w:left="1368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 xml:space="preserve">Usability and use—if materially changing the measure, the recommendation is to provide a summary of findings related to measure interpretability and methods used to provide a qualitative and quantitative usability assessment (e.g., technical expert panel </w:t>
            </w:r>
            <w: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[</w:t>
            </w: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TEP</w:t>
            </w:r>
            <w: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]</w:t>
            </w: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 xml:space="preserve"> review of measure results)</w:t>
            </w:r>
          </w:p>
        </w:tc>
        <w:tc>
          <w:tcPr>
            <w:tcW w:w="6030" w:type="dxa"/>
            <w:shd w:val="clear" w:color="auto" w:fill="F1F9FD"/>
          </w:tcPr>
          <w:p w14:paraId="41D6FD62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57988010" w14:textId="77777777" w:rsidTr="00094780">
        <w:trPr>
          <w:trHeight w:val="2016"/>
        </w:trPr>
        <w:tc>
          <w:tcPr>
            <w:tcW w:w="7470" w:type="dxa"/>
            <w:shd w:val="clear" w:color="auto" w:fill="F1F9FD"/>
            <w:hideMark/>
          </w:tcPr>
          <w:p w14:paraId="372CD4AE" w14:textId="77777777" w:rsidR="00193F50" w:rsidRPr="000229AE" w:rsidRDefault="00193F50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Denominator and/or numerator exclusions and denominator exceptions—discussion of the rationale, which may include listing citations justifying denominator and/or numerator exclusions; documentation of TEP qualitative or quantitative data review; changes from prior assessment findings such as summary statistics and analyses, which may include changes in frequency and variability statistics; and sensitivity analyses</w:t>
            </w:r>
          </w:p>
        </w:tc>
        <w:tc>
          <w:tcPr>
            <w:tcW w:w="6030" w:type="dxa"/>
            <w:shd w:val="clear" w:color="auto" w:fill="F1F9FD"/>
          </w:tcPr>
          <w:p w14:paraId="4DE7FB17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64FD10C1" w14:textId="77777777" w:rsidTr="00094780">
        <w:trPr>
          <w:trHeight w:val="576"/>
        </w:trPr>
        <w:tc>
          <w:tcPr>
            <w:tcW w:w="7470" w:type="dxa"/>
            <w:shd w:val="clear" w:color="auto" w:fill="F1F9FD"/>
            <w:hideMark/>
          </w:tcPr>
          <w:p w14:paraId="1075D66F" w14:textId="77777777" w:rsidR="00193F50" w:rsidRPr="000229AE" w:rsidRDefault="00193F50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lastRenderedPageBreak/>
              <w:t>Analysis of need for risk adjustment and stratification as described in the </w:t>
            </w:r>
            <w:hyperlink r:id="rId9" w:history="1">
              <w:r w:rsidRPr="00CA0558">
                <w:rPr>
                  <w:rStyle w:val="Hyperlink"/>
                </w:rPr>
                <w:t>Risk Adjustment in Quality Measurement</w:t>
              </w:r>
            </w:hyperlink>
            <w: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 xml:space="preserve"> </w:t>
            </w:r>
            <w:r w:rsidRPr="00BC0110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supplemental material</w:t>
            </w:r>
          </w:p>
        </w:tc>
        <w:tc>
          <w:tcPr>
            <w:tcW w:w="6030" w:type="dxa"/>
            <w:shd w:val="clear" w:color="auto" w:fill="F1F9FD"/>
          </w:tcPr>
          <w:p w14:paraId="13B01407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370E7A2B" w14:textId="77777777" w:rsidTr="00094780">
        <w:trPr>
          <w:trHeight w:val="576"/>
        </w:trPr>
        <w:tc>
          <w:tcPr>
            <w:tcW w:w="7470" w:type="dxa"/>
            <w:shd w:val="clear" w:color="auto" w:fill="F1F9FD"/>
            <w:hideMark/>
          </w:tcPr>
          <w:p w14:paraId="5B78AF80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Any recommended changes to the measure specifications and an assessment as to whether there is a need for further testing</w:t>
            </w:r>
          </w:p>
        </w:tc>
        <w:tc>
          <w:tcPr>
            <w:tcW w:w="6030" w:type="dxa"/>
            <w:shd w:val="clear" w:color="auto" w:fill="F1F9FD"/>
          </w:tcPr>
          <w:p w14:paraId="3FF1B736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6A2D16FD" w14:textId="77777777" w:rsidTr="00094780">
        <w:trPr>
          <w:trHeight w:val="1152"/>
        </w:trPr>
        <w:tc>
          <w:tcPr>
            <w:tcW w:w="7470" w:type="dxa"/>
            <w:shd w:val="clear" w:color="auto" w:fill="F1F9FD"/>
            <w:hideMark/>
          </w:tcPr>
          <w:p w14:paraId="41719E82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 xml:space="preserve">Detailed discussion of testing results compared </w:t>
            </w:r>
            <w: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with</w:t>
            </w: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 xml:space="preserve"> the CMS consensus-based entity (CBE) requirements, including whether testing results sufficiently met the CMS CBE requirements or whether there is a need for additional testing</w:t>
            </w:r>
          </w:p>
        </w:tc>
        <w:tc>
          <w:tcPr>
            <w:tcW w:w="6030" w:type="dxa"/>
            <w:shd w:val="clear" w:color="auto" w:fill="F1F9FD"/>
          </w:tcPr>
          <w:p w14:paraId="3EDAC7BB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54F90BF0" w14:textId="77777777" w:rsidTr="00094780">
        <w:trPr>
          <w:trHeight w:val="288"/>
        </w:trPr>
        <w:tc>
          <w:tcPr>
            <w:tcW w:w="7470" w:type="dxa"/>
            <w:shd w:val="clear" w:color="auto" w:fill="F1F9FD"/>
            <w:hideMark/>
          </w:tcPr>
          <w:p w14:paraId="1BE41037" w14:textId="77777777" w:rsidR="00E86F1F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Any limitations of the alpha or beta testing, such as</w:t>
            </w:r>
          </w:p>
          <w:p w14:paraId="02A73E47" w14:textId="77777777" w:rsidR="00E86F1F" w:rsidRDefault="00E86F1F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E86F1F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Sample limited to two sites or three electronic health record applications</w:t>
            </w:r>
          </w:p>
          <w:p w14:paraId="1806DDCC" w14:textId="6D236A05" w:rsidR="00E86F1F" w:rsidRDefault="00E86F1F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E86F1F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Sample used registry data from only one state, and registry data are known to vary across states</w:t>
            </w:r>
          </w:p>
          <w:p w14:paraId="5ED7E1BE" w14:textId="6B32D449" w:rsidR="00E86F1F" w:rsidRPr="000229AE" w:rsidRDefault="00E86F1F" w:rsidP="003D62D7">
            <w:pPr>
              <w:pStyle w:val="ListParagraph"/>
              <w:numPr>
                <w:ilvl w:val="0"/>
                <w:numId w:val="2"/>
              </w:numPr>
              <w:ind w:left="792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E86F1F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Testing was formative alpha test only and not intended to address validity and reliability</w:t>
            </w:r>
          </w:p>
        </w:tc>
        <w:tc>
          <w:tcPr>
            <w:tcW w:w="6030" w:type="dxa"/>
            <w:shd w:val="clear" w:color="auto" w:fill="F1F9FD"/>
          </w:tcPr>
          <w:p w14:paraId="1AFC1D34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4E9AF8BD" w14:textId="77777777" w:rsidTr="00094780">
        <w:trPr>
          <w:trHeight w:val="288"/>
        </w:trPr>
        <w:tc>
          <w:tcPr>
            <w:tcW w:w="7470" w:type="dxa"/>
            <w:shd w:val="clear" w:color="auto" w:fill="F1F9FD"/>
            <w:hideMark/>
          </w:tcPr>
          <w:p w14:paraId="17F1199D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Recommend approval of a candidate measure for further development</w:t>
            </w:r>
          </w:p>
        </w:tc>
        <w:tc>
          <w:tcPr>
            <w:tcW w:w="6030" w:type="dxa"/>
            <w:shd w:val="clear" w:color="auto" w:fill="F1F9FD"/>
          </w:tcPr>
          <w:p w14:paraId="177069E3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0A0B0F8A" w14:textId="77777777" w:rsidTr="00094780">
        <w:trPr>
          <w:trHeight w:val="576"/>
        </w:trPr>
        <w:tc>
          <w:tcPr>
            <w:tcW w:w="7470" w:type="dxa"/>
            <w:shd w:val="clear" w:color="auto" w:fill="F1F9FD"/>
            <w:hideMark/>
          </w:tcPr>
          <w:p w14:paraId="2A454B3F" w14:textId="7879AC32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 xml:space="preserve">Recommend approval of a </w:t>
            </w:r>
            <w:hyperlink r:id="rId10" w:history="1">
              <w:r w:rsidRPr="003D62D7">
                <w:rPr>
                  <w:color w:val="171717"/>
                </w:rPr>
                <w:t>fully tested</w:t>
              </w:r>
            </w:hyperlink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 xml:space="preserve"> and refined measure for implementation</w:t>
            </w:r>
          </w:p>
        </w:tc>
        <w:tc>
          <w:tcPr>
            <w:tcW w:w="6030" w:type="dxa"/>
            <w:shd w:val="clear" w:color="auto" w:fill="F1F9FD"/>
          </w:tcPr>
          <w:p w14:paraId="3F646888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  <w:tr w:rsidR="00193F50" w:rsidRPr="000229AE" w14:paraId="60BDE515" w14:textId="77777777" w:rsidTr="00094780">
        <w:trPr>
          <w:trHeight w:val="288"/>
        </w:trPr>
        <w:tc>
          <w:tcPr>
            <w:tcW w:w="7470" w:type="dxa"/>
            <w:shd w:val="clear" w:color="auto" w:fill="F1F9FD"/>
            <w:hideMark/>
          </w:tcPr>
          <w:p w14:paraId="655FC459" w14:textId="77777777" w:rsidR="00193F50" w:rsidRPr="000229AE" w:rsidRDefault="00193F50" w:rsidP="003D62D7">
            <w:pPr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  <w:r w:rsidRPr="000229AE"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  <w:t>Plan for comprehensive reevaluation</w:t>
            </w:r>
          </w:p>
        </w:tc>
        <w:tc>
          <w:tcPr>
            <w:tcW w:w="6030" w:type="dxa"/>
            <w:shd w:val="clear" w:color="auto" w:fill="F1F9FD"/>
          </w:tcPr>
          <w:p w14:paraId="25FC7269" w14:textId="77777777" w:rsidR="00193F50" w:rsidRPr="00A3097B" w:rsidRDefault="00193F50" w:rsidP="00094780">
            <w:pPr>
              <w:ind w:left="360"/>
              <w:rPr>
                <w:rFonts w:ascii="Aptos" w:eastAsia="Times New Roman" w:hAnsi="Aptos" w:cs="Times New Roman"/>
                <w:color w:val="171717"/>
                <w:kern w:val="0"/>
                <w:lang w:bidi="ar-SA"/>
                <w14:ligatures w14:val="none"/>
              </w:rPr>
            </w:pPr>
          </w:p>
        </w:tc>
      </w:tr>
    </w:tbl>
    <w:p w14:paraId="1FFF328A" w14:textId="77777777" w:rsidR="00193F50" w:rsidRDefault="00193F50"/>
    <w:sectPr w:rsidR="00193F50" w:rsidSect="00442228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0B767" w14:textId="77777777" w:rsidR="00442228" w:rsidRDefault="00442228" w:rsidP="00193F50">
      <w:pPr>
        <w:spacing w:after="0" w:line="240" w:lineRule="auto"/>
      </w:pPr>
      <w:r>
        <w:separator/>
      </w:r>
    </w:p>
  </w:endnote>
  <w:endnote w:type="continuationSeparator" w:id="0">
    <w:p w14:paraId="70F922AA" w14:textId="77777777" w:rsidR="00442228" w:rsidRDefault="00442228" w:rsidP="0019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2635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9AAF5" w14:textId="036D45E8" w:rsidR="00193F50" w:rsidRDefault="00193F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B7B9C" w14:textId="77777777" w:rsidR="00193F50" w:rsidRDefault="00193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60ADB" w14:textId="77777777" w:rsidR="00442228" w:rsidRDefault="00442228" w:rsidP="00193F50">
      <w:pPr>
        <w:spacing w:after="0" w:line="240" w:lineRule="auto"/>
      </w:pPr>
      <w:r>
        <w:separator/>
      </w:r>
    </w:p>
  </w:footnote>
  <w:footnote w:type="continuationSeparator" w:id="0">
    <w:p w14:paraId="22910B57" w14:textId="77777777" w:rsidR="00442228" w:rsidRDefault="00442228" w:rsidP="0019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11854" w14:textId="434F557F" w:rsidR="00193F50" w:rsidRDefault="00000000" w:rsidP="00193F50">
    <w:pPr>
      <w:pStyle w:val="Footer"/>
    </w:pPr>
    <w:hyperlink r:id="rId1" w:history="1">
      <w:r w:rsidR="00193F50" w:rsidRPr="00F64075">
        <w:rPr>
          <w:rStyle w:val="Hyperlink"/>
        </w:rPr>
        <w:t>CMS MMS Hub Measure Testing Summary</w:t>
      </w:r>
    </w:hyperlink>
    <w:r w:rsidR="00CA0558">
      <w:rPr>
        <w:rStyle w:val="Hyperlink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F3543"/>
    <w:multiLevelType w:val="hybridMultilevel"/>
    <w:tmpl w:val="B2DC26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1A098D"/>
    <w:multiLevelType w:val="hybridMultilevel"/>
    <w:tmpl w:val="1D6059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FF5FD3"/>
    <w:multiLevelType w:val="hybridMultilevel"/>
    <w:tmpl w:val="A420F86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9950FE"/>
    <w:multiLevelType w:val="hybridMultilevel"/>
    <w:tmpl w:val="B1628B0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3535016">
    <w:abstractNumId w:val="0"/>
  </w:num>
  <w:num w:numId="2" w16cid:durableId="485557722">
    <w:abstractNumId w:val="1"/>
  </w:num>
  <w:num w:numId="3" w16cid:durableId="1670015455">
    <w:abstractNumId w:val="2"/>
  </w:num>
  <w:num w:numId="4" w16cid:durableId="1753162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50"/>
    <w:rsid w:val="0005354B"/>
    <w:rsid w:val="00056D44"/>
    <w:rsid w:val="000973D8"/>
    <w:rsid w:val="000A4727"/>
    <w:rsid w:val="000B2B57"/>
    <w:rsid w:val="00106B6B"/>
    <w:rsid w:val="0016167C"/>
    <w:rsid w:val="00193F50"/>
    <w:rsid w:val="002255BC"/>
    <w:rsid w:val="002365F6"/>
    <w:rsid w:val="0023745D"/>
    <w:rsid w:val="00257ABB"/>
    <w:rsid w:val="00285E76"/>
    <w:rsid w:val="003036E3"/>
    <w:rsid w:val="003441DC"/>
    <w:rsid w:val="003673F2"/>
    <w:rsid w:val="00384C23"/>
    <w:rsid w:val="003D62D7"/>
    <w:rsid w:val="00402DA8"/>
    <w:rsid w:val="00442228"/>
    <w:rsid w:val="0047303C"/>
    <w:rsid w:val="00476FE6"/>
    <w:rsid w:val="004A3D6F"/>
    <w:rsid w:val="004B0629"/>
    <w:rsid w:val="00510056"/>
    <w:rsid w:val="005164E4"/>
    <w:rsid w:val="00523D50"/>
    <w:rsid w:val="0055368C"/>
    <w:rsid w:val="00583BB6"/>
    <w:rsid w:val="005C2DE2"/>
    <w:rsid w:val="005D293E"/>
    <w:rsid w:val="005D793C"/>
    <w:rsid w:val="005E30C2"/>
    <w:rsid w:val="005F0F94"/>
    <w:rsid w:val="00617BCE"/>
    <w:rsid w:val="00694D2A"/>
    <w:rsid w:val="00780B25"/>
    <w:rsid w:val="00797694"/>
    <w:rsid w:val="007B7ABE"/>
    <w:rsid w:val="007F2E1F"/>
    <w:rsid w:val="00822F23"/>
    <w:rsid w:val="008550A7"/>
    <w:rsid w:val="008D2250"/>
    <w:rsid w:val="008E436C"/>
    <w:rsid w:val="008E575D"/>
    <w:rsid w:val="008F2756"/>
    <w:rsid w:val="0090644F"/>
    <w:rsid w:val="00947899"/>
    <w:rsid w:val="009E26D0"/>
    <w:rsid w:val="009E3AB5"/>
    <w:rsid w:val="00A0338B"/>
    <w:rsid w:val="00A61BA7"/>
    <w:rsid w:val="00A9416D"/>
    <w:rsid w:val="00AA52F8"/>
    <w:rsid w:val="00B43184"/>
    <w:rsid w:val="00BA4F5B"/>
    <w:rsid w:val="00C14202"/>
    <w:rsid w:val="00C312EF"/>
    <w:rsid w:val="00C327B3"/>
    <w:rsid w:val="00C861AF"/>
    <w:rsid w:val="00CA0558"/>
    <w:rsid w:val="00CB1979"/>
    <w:rsid w:val="00CC5F9E"/>
    <w:rsid w:val="00CF6C90"/>
    <w:rsid w:val="00D00558"/>
    <w:rsid w:val="00D04CE7"/>
    <w:rsid w:val="00D07AAB"/>
    <w:rsid w:val="00D2053E"/>
    <w:rsid w:val="00D40399"/>
    <w:rsid w:val="00D62330"/>
    <w:rsid w:val="00D8161D"/>
    <w:rsid w:val="00DA49FD"/>
    <w:rsid w:val="00DA60E7"/>
    <w:rsid w:val="00E67113"/>
    <w:rsid w:val="00E775D7"/>
    <w:rsid w:val="00E846CA"/>
    <w:rsid w:val="00E86F1F"/>
    <w:rsid w:val="00EE517A"/>
    <w:rsid w:val="00F446D0"/>
    <w:rsid w:val="00F90865"/>
    <w:rsid w:val="00FD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308EA"/>
  <w15:chartTrackingRefBased/>
  <w15:docId w15:val="{9A2DAC16-ADD0-4335-B96A-90EAF467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F50"/>
    <w:rPr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F50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F50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3F50"/>
    <w:rPr>
      <w:rFonts w:asciiTheme="majorHAnsi" w:eastAsiaTheme="majorEastAsia" w:hAnsiTheme="majorHAnsi" w:cstheme="majorBidi"/>
      <w:color w:val="3E762A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F50"/>
    <w:rPr>
      <w:rFonts w:asciiTheme="majorHAnsi" w:eastAsiaTheme="majorEastAsia" w:hAnsiTheme="majorHAnsi" w:cstheme="majorBidi"/>
      <w:color w:val="3E762A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F50"/>
    <w:rPr>
      <w:rFonts w:eastAsiaTheme="majorEastAsia" w:cstheme="majorBidi"/>
      <w:color w:val="3E762A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F50"/>
    <w:rPr>
      <w:rFonts w:eastAsiaTheme="majorEastAsia" w:cstheme="majorBidi"/>
      <w:i/>
      <w:iCs/>
      <w:color w:val="3E762A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F50"/>
    <w:rPr>
      <w:rFonts w:eastAsiaTheme="majorEastAsia" w:cstheme="majorBidi"/>
      <w:color w:val="3E762A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F50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F50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F50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F50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193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F50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F50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19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F50"/>
    <w:rPr>
      <w:i/>
      <w:iCs/>
      <w:color w:val="404040" w:themeColor="text1" w:themeTint="BF"/>
      <w:lang w:bidi="ar-EG"/>
    </w:rPr>
  </w:style>
  <w:style w:type="character" w:styleId="IntenseEmphasis">
    <w:name w:val="Intense Emphasis"/>
    <w:basedOn w:val="DefaultParagraphFont"/>
    <w:uiPriority w:val="21"/>
    <w:qFormat/>
    <w:rsid w:val="00193F50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F50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F50"/>
    <w:rPr>
      <w:i/>
      <w:iCs/>
      <w:color w:val="3E762A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193F50"/>
    <w:rPr>
      <w:b/>
      <w:bCs/>
      <w:smallCaps/>
      <w:color w:val="3E762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F50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193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50"/>
    <w:rPr>
      <w:lang w:bidi="ar-EG"/>
    </w:rPr>
  </w:style>
  <w:style w:type="character" w:styleId="Hyperlink">
    <w:name w:val="Hyperlink"/>
    <w:basedOn w:val="DefaultParagraphFont"/>
    <w:uiPriority w:val="99"/>
    <w:unhideWhenUsed/>
    <w:rsid w:val="00193F50"/>
    <w:rPr>
      <w:color w:val="467886"/>
      <w:u w:val="single"/>
    </w:rPr>
  </w:style>
  <w:style w:type="table" w:styleId="TableGrid">
    <w:name w:val="Table Grid"/>
    <w:basedOn w:val="TableNormal"/>
    <w:uiPriority w:val="39"/>
    <w:rsid w:val="0019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A0558"/>
    <w:rPr>
      <w:color w:val="BA6906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0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558"/>
    <w:rPr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58"/>
    <w:rPr>
      <w:b/>
      <w:bCs/>
      <w:sz w:val="20"/>
      <w:szCs w:val="20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CA0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shub.cms.gov/measure-lifecycle/measure-testing/evaluation-criteria/overvie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mshub.cms.gov/measure-lifecycle/measure-implementation/sele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mshub.cms.gov/sites/default/files/Risk-Adjustment-in-Quality-Measurement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shub.cms.gov/measure-lifecycle/measure-testing/process/summary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6409-6059-4167-A041-3E3ADC2DB2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d732a6-0413-473f-a1ce-68d1616444b6}" enabled="0" method="" siteId="{2dd732a6-0413-473f-a1ce-68d1616444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Potential Components of a Measure Testing Summary</vt:lpstr>
    </vt:vector>
  </TitlesOfParts>
  <Company>Battelle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Components of a Measure Testing Summary</dc:title>
  <dc:subject>Potential Components of a Measure Testing Summary</dc:subject>
  <dc:creator>Centers for Medicare &amp; Medicaid Services (CMS)</dc:creator>
  <cp:keywords>Potential, Components, Measure Testing, Summary</cp:keywords>
  <dc:description/>
  <cp:lastModifiedBy>Elhagmusa, Amira (US)</cp:lastModifiedBy>
  <cp:revision>6</cp:revision>
  <dcterms:created xsi:type="dcterms:W3CDTF">2024-04-30T14:05:00Z</dcterms:created>
  <dcterms:modified xsi:type="dcterms:W3CDTF">2024-04-30T14:15:00Z</dcterms:modified>
</cp:coreProperties>
</file>