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D63635" w:rsidRDefault="00571AE2" w:rsidP="00C00243">
      <w:pPr>
        <w:pStyle w:val="Heading1"/>
        <w:jc w:val="center"/>
        <w:rPr>
          <w:rFonts w:ascii="Arial" w:hAnsi="Arial" w:cs="Arial"/>
          <w:b/>
          <w:bCs/>
          <w:color w:val="auto"/>
          <w:sz w:val="22"/>
          <w:szCs w:val="22"/>
        </w:rPr>
      </w:pPr>
      <w:bookmarkStart w:id="0" w:name="_Hlk93317549"/>
      <w:r w:rsidRPr="00D63635" w:rsidDel="00C00243">
        <w:rPr>
          <w:rFonts w:ascii="Arial" w:hAnsi="Arial" w:cs="Arial"/>
          <w:b/>
          <w:color w:val="auto"/>
          <w:sz w:val="22"/>
          <w:szCs w:val="22"/>
        </w:rPr>
        <w:t>202</w:t>
      </w:r>
      <w:r w:rsidR="75DAD56E" w:rsidRPr="00D63635" w:rsidDel="00C00243">
        <w:rPr>
          <w:rFonts w:ascii="Arial" w:hAnsi="Arial" w:cs="Arial"/>
          <w:b/>
          <w:color w:val="auto"/>
          <w:sz w:val="22"/>
          <w:szCs w:val="22"/>
        </w:rPr>
        <w:t>4</w:t>
      </w:r>
      <w:r w:rsidRPr="00D63635" w:rsidDel="00C00243">
        <w:rPr>
          <w:rFonts w:ascii="Arial" w:hAnsi="Arial" w:cs="Arial"/>
          <w:b/>
          <w:color w:val="auto"/>
          <w:sz w:val="22"/>
          <w:szCs w:val="22"/>
        </w:rPr>
        <w:t xml:space="preserve"> </w:t>
      </w:r>
      <w:r w:rsidR="00332C94" w:rsidRPr="00D63635" w:rsidDel="00C00243">
        <w:rPr>
          <w:rFonts w:ascii="Arial" w:hAnsi="Arial" w:cs="Arial"/>
          <w:b/>
          <w:color w:val="auto"/>
          <w:sz w:val="22"/>
          <w:szCs w:val="22"/>
        </w:rPr>
        <w:t xml:space="preserve">MIPS </w:t>
      </w:r>
      <w:r w:rsidR="00ED5E4C" w:rsidRPr="00D63635" w:rsidDel="00C00243">
        <w:rPr>
          <w:rFonts w:ascii="Arial" w:hAnsi="Arial" w:cs="Arial"/>
          <w:b/>
          <w:color w:val="auto"/>
          <w:sz w:val="22"/>
          <w:szCs w:val="22"/>
        </w:rPr>
        <w:t>Peer</w:t>
      </w:r>
      <w:r w:rsidR="00EA06EB" w:rsidRPr="00D63635" w:rsidDel="00C00243">
        <w:rPr>
          <w:rFonts w:ascii="Arial" w:hAnsi="Arial" w:cs="Arial"/>
          <w:b/>
          <w:color w:val="auto"/>
          <w:sz w:val="22"/>
          <w:szCs w:val="22"/>
        </w:rPr>
        <w:t>-</w:t>
      </w:r>
      <w:r w:rsidR="00ED5E4C" w:rsidRPr="00D63635" w:rsidDel="00C00243">
        <w:rPr>
          <w:rFonts w:ascii="Arial" w:hAnsi="Arial" w:cs="Arial"/>
          <w:b/>
          <w:color w:val="auto"/>
          <w:sz w:val="22"/>
          <w:szCs w:val="22"/>
        </w:rPr>
        <w:t xml:space="preserve">Reviewed Journal Article </w:t>
      </w:r>
      <w:r w:rsidR="00ED5E4C" w:rsidRPr="000271EB" w:rsidDel="00C00243">
        <w:rPr>
          <w:rFonts w:ascii="Arial" w:hAnsi="Arial" w:cs="Arial"/>
          <w:b/>
          <w:color w:val="auto"/>
          <w:sz w:val="22"/>
          <w:szCs w:val="22"/>
        </w:rPr>
        <w:t>Requirement</w:t>
      </w:r>
      <w:r w:rsidR="00ED5E4C" w:rsidRPr="00D63635" w:rsidDel="00C00243">
        <w:rPr>
          <w:rFonts w:ascii="Arial" w:hAnsi="Arial" w:cs="Arial"/>
          <w:b/>
          <w:color w:val="auto"/>
          <w:sz w:val="22"/>
          <w:szCs w:val="22"/>
        </w:rPr>
        <w:t xml:space="preserve"> Template</w:t>
      </w:r>
    </w:p>
    <w:p w14:paraId="0B8D327A" w14:textId="64ECA080"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EE222C">
        <w:rPr>
          <w:rFonts w:ascii="Arial" w:hAnsi="Arial" w:cs="Arial"/>
          <w:color w:val="000000" w:themeColor="text1"/>
        </w:rPr>
        <w:t>Such</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measures will be submitted by the Centers for Medicare &amp; Medicaid Services (CMS), to a journal(s), before including any new measure </w:t>
      </w:r>
      <w:r w:rsidR="00EE222C">
        <w:rPr>
          <w:rFonts w:ascii="Arial" w:hAnsi="Arial" w:cs="Arial"/>
          <w:color w:val="000000" w:themeColor="text1"/>
        </w:rPr>
        <w:t>on</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00EE222C">
        <w:rPr>
          <w:rFonts w:ascii="Arial" w:hAnsi="Arial" w:cs="Arial"/>
          <w:color w:val="000000" w:themeColor="text1"/>
        </w:rPr>
        <w:t>MIPS Annual</w:t>
      </w:r>
      <w:r w:rsidR="00EE222C" w:rsidRPr="7FBADEA3">
        <w:rPr>
          <w:rFonts w:ascii="Arial" w:hAnsi="Arial" w:cs="Arial"/>
          <w:color w:val="000000" w:themeColor="text1"/>
        </w:rPr>
        <w:t xml:space="preserve"> </w:t>
      </w:r>
      <w:r w:rsidRPr="7FBADEA3">
        <w:rPr>
          <w:rFonts w:ascii="Arial" w:hAnsi="Arial" w:cs="Arial"/>
          <w:color w:val="000000" w:themeColor="text1"/>
        </w:rPr>
        <w:t xml:space="preserve">Call for </w:t>
      </w:r>
      <w:r w:rsidR="00552A8C" w:rsidRPr="7FBADEA3">
        <w:rPr>
          <w:rFonts w:ascii="Arial" w:hAnsi="Arial" w:cs="Arial"/>
          <w:color w:val="000000" w:themeColor="text1"/>
        </w:rPr>
        <w:t xml:space="preserve">Quality </w:t>
      </w:r>
      <w:r w:rsidRPr="7FBADEA3">
        <w:rPr>
          <w:rFonts w:ascii="Arial" w:hAnsi="Arial" w:cs="Arial"/>
          <w:color w:val="000000" w:themeColor="text1"/>
        </w:rPr>
        <w:t>Measures submission process.</w:t>
      </w:r>
    </w:p>
    <w:p w14:paraId="42D62858" w14:textId="3320FD15" w:rsidR="00ED5E4C" w:rsidRPr="005D7BAE" w:rsidRDefault="00EE222C" w:rsidP="00ED5E4C">
      <w:pPr>
        <w:rPr>
          <w:rFonts w:ascii="Arial" w:hAnsi="Arial" w:cs="Arial"/>
        </w:rPr>
      </w:pPr>
      <w:r>
        <w:rPr>
          <w:rFonts w:ascii="Arial" w:hAnsi="Arial" w:cs="Arial"/>
          <w:color w:val="000000"/>
        </w:rPr>
        <w:t xml:space="preserve">Interested parties </w:t>
      </w:r>
      <w:r w:rsidR="00ED5E4C">
        <w:rPr>
          <w:rFonts w:ascii="Arial" w:hAnsi="Arial" w:cs="Arial"/>
          <w:color w:val="000000"/>
        </w:rPr>
        <w:t xml:space="preserve">submitting measures </w:t>
      </w:r>
      <w:r w:rsidRPr="32030D9D">
        <w:rPr>
          <w:rFonts w:ascii="Arial" w:hAnsi="Arial" w:cs="Arial"/>
          <w:color w:val="000000" w:themeColor="text1"/>
        </w:rPr>
        <w:t xml:space="preserve">for consideration through </w:t>
      </w:r>
      <w:r w:rsidR="00ED5E4C">
        <w:rPr>
          <w:rFonts w:ascii="Arial" w:hAnsi="Arial" w:cs="Arial"/>
          <w:color w:val="000000"/>
        </w:rPr>
        <w:t xml:space="preserve">the MIPS </w:t>
      </w:r>
      <w:r>
        <w:rPr>
          <w:rFonts w:ascii="Arial" w:hAnsi="Arial" w:cs="Arial"/>
          <w:color w:val="000000"/>
        </w:rPr>
        <w:t xml:space="preserve">Annual </w:t>
      </w:r>
      <w:r w:rsidR="00ED5E4C">
        <w:rPr>
          <w:rFonts w:ascii="Arial" w:hAnsi="Arial" w:cs="Arial"/>
          <w:color w:val="000000"/>
        </w:rPr>
        <w:t>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Pr>
          <w:rFonts w:ascii="Arial" w:hAnsi="Arial" w:cs="Arial"/>
          <w:color w:val="000000"/>
        </w:rPr>
        <w:t xml:space="preserve">CMS </w:t>
      </w:r>
      <w:r w:rsidR="003D5D1A">
        <w:rPr>
          <w:rFonts w:ascii="Arial" w:hAnsi="Arial" w:cs="Arial"/>
          <w:color w:val="000000"/>
        </w:rPr>
        <w:t xml:space="preserve">Annual </w:t>
      </w:r>
      <w:r w:rsidR="00ED5E4C"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00ED5E4C" w:rsidRPr="005D6A32">
        <w:rPr>
          <w:rFonts w:ascii="Arial" w:hAnsi="Arial" w:cs="Arial"/>
          <w:color w:val="000000"/>
        </w:rPr>
        <w:t xml:space="preserve">. </w:t>
      </w:r>
      <w:r w:rsidR="00ED5E4C"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00ED5E4C" w:rsidRPr="005D7BAE">
        <w:rPr>
          <w:rFonts w:ascii="Arial" w:hAnsi="Arial" w:cs="Arial"/>
          <w:color w:val="000000"/>
        </w:rPr>
        <w:t xml:space="preserv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xml:space="preserve">, </w:t>
      </w:r>
      <w:r>
        <w:rPr>
          <w:rFonts w:ascii="Arial" w:hAnsi="Arial" w:cs="Arial"/>
          <w:color w:val="000000"/>
        </w:rPr>
        <w:t xml:space="preserve">including the following, </w:t>
      </w:r>
      <w:r w:rsidR="00ED5E4C" w:rsidRPr="005D7BAE">
        <w:rPr>
          <w:rFonts w:ascii="Arial" w:hAnsi="Arial" w:cs="Arial"/>
        </w:rPr>
        <w:t>but</w:t>
      </w:r>
      <w:r w:rsidR="00ED5E4C" w:rsidRPr="005D7BAE" w:rsidDel="00EE222C">
        <w:rPr>
          <w:rFonts w:ascii="Arial" w:hAnsi="Arial" w:cs="Arial"/>
        </w:rPr>
        <w:t xml:space="preserve"> </w:t>
      </w:r>
      <w:r>
        <w:rPr>
          <w:rFonts w:ascii="Arial" w:hAnsi="Arial" w:cs="Arial"/>
        </w:rPr>
        <w:t>not</w:t>
      </w:r>
      <w:r w:rsidRPr="005D7BAE">
        <w:rPr>
          <w:rFonts w:ascii="Arial" w:hAnsi="Arial" w:cs="Arial"/>
        </w:rPr>
        <w:t xml:space="preserve"> </w:t>
      </w:r>
      <w:r w:rsidR="00ED5E4C" w:rsidRPr="005D7BAE">
        <w:rPr>
          <w:rFonts w:ascii="Arial" w:hAnsi="Arial" w:cs="Arial"/>
        </w:rPr>
        <w:t>limited to:</w:t>
      </w:r>
    </w:p>
    <w:p w14:paraId="1F2C9F1C" w14:textId="05E18599" w:rsidR="00216557" w:rsidRDefault="00216557" w:rsidP="003811D9">
      <w:pPr>
        <w:pStyle w:val="ListParagraph"/>
        <w:numPr>
          <w:ilvl w:val="0"/>
          <w:numId w:val="9"/>
        </w:numPr>
        <w:spacing w:before="240"/>
        <w:rPr>
          <w:rFonts w:ascii="Arial" w:hAnsi="Arial" w:cs="Arial"/>
          <w:b/>
          <w:iCs/>
        </w:rPr>
      </w:pPr>
      <w:r w:rsidRPr="00635753">
        <w:rPr>
          <w:rFonts w:ascii="Arial" w:hAnsi="Arial" w:cs="Arial"/>
          <w:b/>
          <w:iCs/>
        </w:rPr>
        <w:t>[Measure Title]</w:t>
      </w:r>
      <w:r w:rsidR="00564271">
        <w:rPr>
          <w:rFonts w:ascii="Arial" w:hAnsi="Arial" w:cs="Arial"/>
          <w:b/>
          <w:iCs/>
        </w:rPr>
        <w:t xml:space="preserve"> </w:t>
      </w:r>
      <w:r w:rsidR="00050031" w:rsidRPr="00FA0F47">
        <w:rPr>
          <w:rFonts w:ascii="Arial" w:hAnsi="Arial" w:cs="Arial"/>
          <w:b/>
          <w:iCs/>
          <w:color w:val="388600"/>
        </w:rPr>
        <w:t>Assessment of Autonomic Dysfunction</w:t>
      </w:r>
      <w:r w:rsidR="003826EC" w:rsidRPr="00FA0F47">
        <w:rPr>
          <w:rFonts w:ascii="Arial" w:hAnsi="Arial" w:cs="Arial"/>
          <w:b/>
          <w:iCs/>
          <w:color w:val="388600"/>
        </w:rPr>
        <w:t xml:space="preserve"> and Follow-up</w:t>
      </w:r>
    </w:p>
    <w:p w14:paraId="11370BFC" w14:textId="7A0DBE7E" w:rsidR="009528D6" w:rsidRPr="001F1DB8" w:rsidRDefault="009528D6" w:rsidP="001F1DB8">
      <w:pPr>
        <w:pStyle w:val="ListParagraph"/>
        <w:numPr>
          <w:ilvl w:val="0"/>
          <w:numId w:val="9"/>
        </w:numPr>
        <w:rPr>
          <w:rFonts w:ascii="Arial" w:hAnsi="Arial" w:cs="Arial"/>
          <w:b/>
          <w:bCs/>
        </w:rPr>
      </w:pPr>
      <w:r w:rsidRPr="009528D6">
        <w:rPr>
          <w:rFonts w:ascii="Arial" w:hAnsi="Arial" w:cs="Arial"/>
          <w:b/>
          <w:bCs/>
        </w:rPr>
        <w:t>[Meaningful Measures 2.0 Framework Domain]</w:t>
      </w:r>
      <w:r w:rsidR="00564271">
        <w:rPr>
          <w:rFonts w:ascii="Arial" w:hAnsi="Arial" w:cs="Arial"/>
          <w:b/>
          <w:bCs/>
        </w:rPr>
        <w:t xml:space="preserve"> </w:t>
      </w:r>
      <w:r w:rsidR="00564271" w:rsidRPr="00FA0F47">
        <w:rPr>
          <w:rFonts w:ascii="Arial" w:hAnsi="Arial" w:cs="Arial"/>
          <w:b/>
          <w:bCs/>
          <w:color w:val="388600"/>
        </w:rPr>
        <w:t>Chronic conditions</w:t>
      </w: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708D0002">
                <wp:extent cx="5019675" cy="1205106"/>
                <wp:effectExtent l="0" t="0" r="28575" b="14605"/>
                <wp:docPr id="217" name="Text Box 217"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1205106"/>
                        </a:xfrm>
                        <a:prstGeom prst="rect">
                          <a:avLst/>
                        </a:prstGeom>
                        <a:solidFill>
                          <a:srgbClr val="FFFFFF"/>
                        </a:solidFill>
                        <a:ln w="9525">
                          <a:solidFill>
                            <a:srgbClr val="000000"/>
                          </a:solidFill>
                          <a:miter lim="800000"/>
                          <a:headEnd/>
                          <a:tailEnd/>
                        </a:ln>
                      </wps:spPr>
                      <wps:txbx>
                        <w:txbxContent>
                          <w:p w14:paraId="190D00AF" w14:textId="3969D784" w:rsidR="00ED5E4C" w:rsidRPr="00FA0F47"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564271">
                              <w:rPr>
                                <w:iCs/>
                                <w:sz w:val="24"/>
                                <w:szCs w:val="24"/>
                              </w:rPr>
                              <w:t xml:space="preserve"> </w:t>
                            </w:r>
                            <w:r w:rsidR="00564271" w:rsidRPr="00FA0F47">
                              <w:rPr>
                                <w:iCs/>
                                <w:color w:val="388600"/>
                                <w:sz w:val="24"/>
                                <w:szCs w:val="24"/>
                              </w:rPr>
                              <w:t>American Academy of Neurology</w:t>
                            </w:r>
                          </w:p>
                          <w:p w14:paraId="22DFEF00" w14:textId="008A8536" w:rsidR="00ED5E4C" w:rsidRPr="00FA0F47"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564271">
                              <w:rPr>
                                <w:iCs/>
                                <w:sz w:val="24"/>
                                <w:szCs w:val="24"/>
                              </w:rPr>
                              <w:t xml:space="preserve"> </w:t>
                            </w:r>
                            <w:r w:rsidR="00564271" w:rsidRPr="00FA0F47">
                              <w:rPr>
                                <w:iCs/>
                                <w:color w:val="388600"/>
                                <w:sz w:val="24"/>
                                <w:szCs w:val="24"/>
                              </w:rPr>
                              <w:t>American Academy of Neurology</w:t>
                            </w:r>
                          </w:p>
                          <w:p w14:paraId="03E09A09" w14:textId="03E9692D" w:rsidR="00ED5E4C" w:rsidRPr="00FA0F47"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564271">
                              <w:rPr>
                                <w:sz w:val="24"/>
                                <w:szCs w:val="24"/>
                              </w:rPr>
                              <w:t xml:space="preserve"> </w:t>
                            </w:r>
                            <w:r w:rsidR="00564271" w:rsidRPr="00FA0F47">
                              <w:rPr>
                                <w:color w:val="388600"/>
                                <w:sz w:val="24"/>
                                <w:szCs w:val="24"/>
                              </w:rPr>
                              <w:t>Percentage of</w:t>
                            </w:r>
                            <w:r w:rsidR="00B668EF" w:rsidRPr="00FA0F47">
                              <w:rPr>
                                <w:color w:val="388600"/>
                                <w:sz w:val="24"/>
                                <w:szCs w:val="24"/>
                              </w:rPr>
                              <w:t xml:space="preserve"> patients with a diagnosis of Parkinson’s disease (or caregivers as appropriate) who were assessed for symptoms</w:t>
                            </w:r>
                            <w:r w:rsidR="001C6CDB" w:rsidRPr="00FA0F47">
                              <w:rPr>
                                <w:color w:val="388600"/>
                                <w:sz w:val="24"/>
                                <w:szCs w:val="24"/>
                              </w:rPr>
                              <w:t xml:space="preserve"> or signs of autonomic dysfunction once in the past 12 months</w:t>
                            </w:r>
                            <w:r w:rsidR="00A36B27" w:rsidRPr="00FA0F47">
                              <w:rPr>
                                <w:color w:val="388600"/>
                                <w:sz w:val="24"/>
                                <w:szCs w:val="24"/>
                              </w:rPr>
                              <w:t>, and if autonomic dysfunction was identified, patient had appropriate follow-up.</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17" o:spid="_x0000_s1026" type="#_x0000_t202" alt="Indicates measure owner, measure developer, and measure description" style="width:395.25pt;height:9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">
                <v:textbox>
                  <w:txbxContent>
                    <w:p w14:paraId="190D00AF" w14:textId="3969D784" w:rsidR="00ED5E4C" w:rsidRPr="00FA0F47"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564271">
                        <w:rPr>
                          <w:iCs/>
                          <w:sz w:val="24"/>
                          <w:szCs w:val="24"/>
                        </w:rPr>
                        <w:t xml:space="preserve"> </w:t>
                      </w:r>
                      <w:r w:rsidR="00564271" w:rsidRPr="00FA0F47">
                        <w:rPr>
                          <w:iCs/>
                          <w:color w:val="388600"/>
                          <w:sz w:val="24"/>
                          <w:szCs w:val="24"/>
                        </w:rPr>
                        <w:t>American Academy of Neurology</w:t>
                      </w:r>
                    </w:p>
                    <w:p w14:paraId="22DFEF00" w14:textId="008A8536" w:rsidR="00ED5E4C" w:rsidRPr="00FA0F47"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564271">
                        <w:rPr>
                          <w:iCs/>
                          <w:sz w:val="24"/>
                          <w:szCs w:val="24"/>
                        </w:rPr>
                        <w:t xml:space="preserve"> </w:t>
                      </w:r>
                      <w:r w:rsidR="00564271" w:rsidRPr="00FA0F47">
                        <w:rPr>
                          <w:iCs/>
                          <w:color w:val="388600"/>
                          <w:sz w:val="24"/>
                          <w:szCs w:val="24"/>
                        </w:rPr>
                        <w:t>American Academy of Neurology</w:t>
                      </w:r>
                    </w:p>
                    <w:p w14:paraId="03E09A09" w14:textId="03E9692D" w:rsidR="00ED5E4C" w:rsidRPr="00FA0F47"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564271">
                        <w:rPr>
                          <w:sz w:val="24"/>
                          <w:szCs w:val="24"/>
                        </w:rPr>
                        <w:t xml:space="preserve"> </w:t>
                      </w:r>
                      <w:r w:rsidR="00564271" w:rsidRPr="00FA0F47">
                        <w:rPr>
                          <w:color w:val="388600"/>
                          <w:sz w:val="24"/>
                          <w:szCs w:val="24"/>
                        </w:rPr>
                        <w:t>Percentage of</w:t>
                      </w:r>
                      <w:r w:rsidR="00B668EF" w:rsidRPr="00FA0F47">
                        <w:rPr>
                          <w:color w:val="388600"/>
                          <w:sz w:val="24"/>
                          <w:szCs w:val="24"/>
                        </w:rPr>
                        <w:t xml:space="preserve"> patients with a diagnosis of Parkinson’s disease (or caregivers as appropriate) who were assessed for symptoms</w:t>
                      </w:r>
                      <w:r w:rsidR="001C6CDB" w:rsidRPr="00FA0F47">
                        <w:rPr>
                          <w:color w:val="388600"/>
                          <w:sz w:val="24"/>
                          <w:szCs w:val="24"/>
                        </w:rPr>
                        <w:t xml:space="preserve"> or signs of autonomic dysfunction once in the past 12 months</w:t>
                      </w:r>
                      <w:r w:rsidR="00A36B27" w:rsidRPr="00FA0F47">
                        <w:rPr>
                          <w:color w:val="388600"/>
                          <w:sz w:val="24"/>
                          <w:szCs w:val="24"/>
                        </w:rPr>
                        <w:t>, and if autonomic dysfunction was identified, patient had appropriate follow-up.</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FA0F47" w:rsidRDefault="00ED5E4C" w:rsidP="00FA0F47">
      <w:pPr>
        <w:pStyle w:val="Heading2"/>
        <w:numPr>
          <w:ilvl w:val="0"/>
          <w:numId w:val="16"/>
        </w:numPr>
        <w:rPr>
          <w:rFonts w:ascii="Arial" w:hAnsi="Arial" w:cs="Arial"/>
          <w:b/>
          <w:bCs/>
          <w:color w:val="auto"/>
          <w:sz w:val="22"/>
          <w:szCs w:val="22"/>
        </w:rPr>
      </w:pPr>
      <w:r w:rsidRPr="00FA0F47">
        <w:rPr>
          <w:rFonts w:ascii="Arial" w:hAnsi="Arial" w:cs="Arial"/>
          <w:b/>
          <w:bCs/>
          <w:color w:val="auto"/>
          <w:sz w:val="22"/>
          <w:szCs w:val="22"/>
        </w:rPr>
        <w:t>Statement</w:t>
      </w:r>
    </w:p>
    <w:p w14:paraId="3D2FFE6B" w14:textId="6CAFDA9E" w:rsidR="00ED5E4C" w:rsidRDefault="00ED5E4C" w:rsidP="00ED5E4C">
      <w:pPr>
        <w:pStyle w:val="ListParagraph"/>
        <w:numPr>
          <w:ilvl w:val="0"/>
          <w:numId w:val="3"/>
        </w:numPr>
        <w:rPr>
          <w:rFonts w:ascii="Arial" w:hAnsi="Arial" w:cs="Arial"/>
          <w:iCs/>
        </w:rPr>
      </w:pPr>
      <w:r w:rsidRPr="003811D9">
        <w:rPr>
          <w:rFonts w:ascii="Arial" w:hAnsi="Arial" w:cs="Arial"/>
          <w:iCs/>
        </w:rPr>
        <w:t>Background (Why is this measure important?)</w:t>
      </w:r>
      <w:r w:rsidR="00144B72">
        <w:rPr>
          <w:rFonts w:ascii="Arial" w:hAnsi="Arial" w:cs="Arial"/>
          <w:iCs/>
        </w:rPr>
        <w:t>.</w:t>
      </w:r>
    </w:p>
    <w:p w14:paraId="0781E446" w14:textId="04018F54" w:rsidR="00731407" w:rsidRPr="00FA0F47" w:rsidRDefault="004A6064" w:rsidP="004A6064">
      <w:pPr>
        <w:pStyle w:val="ListParagraph"/>
        <w:ind w:left="1440"/>
        <w:rPr>
          <w:rFonts w:ascii="Arial" w:hAnsi="Arial" w:cs="Arial"/>
          <w:color w:val="388600"/>
        </w:rPr>
      </w:pPr>
      <w:r w:rsidRPr="00FA0F47">
        <w:rPr>
          <w:rFonts w:ascii="Arial" w:hAnsi="Arial" w:cs="Arial"/>
          <w:color w:val="388600"/>
        </w:rPr>
        <w:t xml:space="preserve">Parkinson’s disease (PD) is the second most common neurodegenerative disorder. Age is the most consistent risk factor for PD, which is uncommon below the age of 50 and peaks in both prevalence and incidence in the 9th decade. Globally, the overall prevalence of PD in 2016 was 6.1 million. In the United States, there were an estimated 680,000 cases of PD among individuals aged ≥45 years in 2010. This number was projected to rise to 930,000 cases in 2020 and double to 1,238,000 cases by 2030. </w:t>
      </w:r>
    </w:p>
    <w:p w14:paraId="1911FC29" w14:textId="77777777" w:rsidR="003826EC" w:rsidRPr="00FA0F47" w:rsidRDefault="003826EC" w:rsidP="004A6064">
      <w:pPr>
        <w:pStyle w:val="ListParagraph"/>
        <w:ind w:left="1440"/>
        <w:rPr>
          <w:rFonts w:ascii="Arial" w:hAnsi="Arial" w:cs="Arial"/>
          <w:color w:val="388600"/>
        </w:rPr>
      </w:pPr>
    </w:p>
    <w:p w14:paraId="6AD73C1D" w14:textId="37CEF176" w:rsidR="004A6064" w:rsidRPr="00FA0F47" w:rsidRDefault="004A6064" w:rsidP="004A6064">
      <w:pPr>
        <w:pStyle w:val="ListParagraph"/>
        <w:ind w:left="1440"/>
        <w:rPr>
          <w:rFonts w:ascii="Arial" w:hAnsi="Arial" w:cs="Arial"/>
          <w:iCs/>
          <w:color w:val="388600"/>
        </w:rPr>
      </w:pPr>
      <w:r w:rsidRPr="00FA0F47">
        <w:rPr>
          <w:rFonts w:ascii="Arial" w:hAnsi="Arial" w:cs="Arial"/>
          <w:color w:val="388600"/>
        </w:rPr>
        <w:t xml:space="preserve">Clinically, PD is characterized by both motor (rest tremor, bradykinesia, rigidity) and non-motor (including but not limited to neuropsychiatric, autonomic, and sensory) symptoms. Dopaminergic neuron loss and α-synuclein-containing Lewy bodies are seen in the substantia nigra pathologically. While there are effective symptomatic treatments for the major motor symptoms of PD, there are currently no proven therapies to modify disease progression. Symptom burden increases as the disease advances, and PD is now the fastest growing source of neurological disability worldwide. Estimated direct medical expenses for the PD population were approximately $14.4 billion in 2010, $8.1 billion more than the estimate for the general population without PD, with the majority of costs going towards nursing home care. The estimated indirect nonmedical cost of PD, which includes </w:t>
      </w:r>
      <w:proofErr w:type="gramStart"/>
      <w:r w:rsidRPr="00FA0F47">
        <w:rPr>
          <w:rFonts w:ascii="Arial" w:hAnsi="Arial" w:cs="Arial"/>
          <w:color w:val="388600"/>
        </w:rPr>
        <w:t>work days</w:t>
      </w:r>
      <w:proofErr w:type="gramEnd"/>
      <w:r w:rsidRPr="00FA0F47">
        <w:rPr>
          <w:rFonts w:ascii="Arial" w:hAnsi="Arial" w:cs="Arial"/>
          <w:color w:val="388600"/>
        </w:rPr>
        <w:t xml:space="preserve"> lost, disability payments and home health care costs, was estimated to be $6.3 billion in 2010iv. This economic burden will only grow in the coming years as the population ages and the number of people with PD increases.</w:t>
      </w:r>
    </w:p>
    <w:p w14:paraId="75403286" w14:textId="649E3624" w:rsidR="00ED5E4C" w:rsidRPr="00A708D6" w:rsidRDefault="00ED5E4C" w:rsidP="00ED5E4C">
      <w:pPr>
        <w:pStyle w:val="ListParagraph"/>
        <w:numPr>
          <w:ilvl w:val="0"/>
          <w:numId w:val="3"/>
        </w:numPr>
        <w:contextualSpacing w:val="0"/>
        <w:rPr>
          <w:rFonts w:ascii="Arial" w:hAnsi="Arial" w:cs="Arial"/>
          <w:iCs/>
        </w:rPr>
      </w:pPr>
      <w:r w:rsidRPr="003811D9">
        <w:rPr>
          <w:rFonts w:ascii="Arial" w:hAnsi="Arial" w:cs="Arial"/>
          <w:iCs/>
        </w:rPr>
        <w:t xml:space="preserve">Environmental </w:t>
      </w:r>
      <w:r w:rsidR="00144B72">
        <w:rPr>
          <w:rFonts w:ascii="Arial" w:hAnsi="Arial" w:cs="Arial"/>
          <w:iCs/>
        </w:rPr>
        <w:t>s</w:t>
      </w:r>
      <w:r w:rsidRPr="003811D9">
        <w:rPr>
          <w:rFonts w:ascii="Arial" w:hAnsi="Arial" w:cs="Arial"/>
          <w:iCs/>
        </w:rPr>
        <w:t>can (Are there existing measures in this area?)</w:t>
      </w:r>
      <w:r w:rsidR="00144B72">
        <w:rPr>
          <w:rFonts w:ascii="Arial" w:hAnsi="Arial" w:cs="Arial"/>
          <w:iCs/>
        </w:rPr>
        <w:t>.</w:t>
      </w:r>
      <w:r w:rsidR="002537A5">
        <w:rPr>
          <w:rFonts w:ascii="Arial" w:hAnsi="Arial" w:cs="Arial"/>
          <w:iCs/>
        </w:rPr>
        <w:t xml:space="preserve"> </w:t>
      </w:r>
      <w:r w:rsidR="002537A5" w:rsidRPr="00FA0F47">
        <w:rPr>
          <w:rFonts w:ascii="Arial" w:hAnsi="Arial" w:cs="Arial"/>
          <w:iCs/>
          <w:color w:val="388600"/>
        </w:rPr>
        <w:t>No existing measures known.</w:t>
      </w:r>
    </w:p>
    <w:p w14:paraId="3ADF2ED9" w14:textId="77777777" w:rsidR="00ED5E4C" w:rsidRPr="00FA0F47" w:rsidRDefault="00ED5E4C" w:rsidP="00FA0F47">
      <w:pPr>
        <w:pStyle w:val="Heading2"/>
        <w:numPr>
          <w:ilvl w:val="0"/>
          <w:numId w:val="16"/>
        </w:numPr>
        <w:rPr>
          <w:rFonts w:ascii="Arial" w:hAnsi="Arial" w:cs="Arial"/>
          <w:b/>
          <w:bCs/>
          <w:color w:val="auto"/>
          <w:sz w:val="22"/>
          <w:szCs w:val="22"/>
        </w:rPr>
      </w:pPr>
      <w:r w:rsidRPr="00FA0F47">
        <w:rPr>
          <w:rFonts w:ascii="Arial" w:hAnsi="Arial" w:cs="Arial"/>
          <w:b/>
          <w:bCs/>
          <w:color w:val="auto"/>
          <w:sz w:val="22"/>
          <w:szCs w:val="22"/>
        </w:rPr>
        <w:lastRenderedPageBreak/>
        <w:t>Gap Analysis</w:t>
      </w:r>
    </w:p>
    <w:p w14:paraId="1F151187" w14:textId="4A339B31" w:rsidR="00ED5E4C" w:rsidRDefault="00ED5E4C" w:rsidP="00ED5E4C">
      <w:pPr>
        <w:pStyle w:val="ListParagraph"/>
        <w:numPr>
          <w:ilvl w:val="0"/>
          <w:numId w:val="2"/>
        </w:numPr>
        <w:rPr>
          <w:rFonts w:ascii="Arial" w:hAnsi="Arial" w:cs="Arial"/>
          <w:iCs/>
        </w:rPr>
      </w:pPr>
      <w:r w:rsidRPr="003811D9">
        <w:rPr>
          <w:rFonts w:ascii="Arial" w:hAnsi="Arial" w:cs="Arial"/>
          <w:iCs/>
        </w:rPr>
        <w:t xml:space="preserve">Provide </w:t>
      </w:r>
      <w:r w:rsidR="00144B72">
        <w:rPr>
          <w:rFonts w:ascii="Arial" w:hAnsi="Arial" w:cs="Arial"/>
          <w:iCs/>
        </w:rPr>
        <w:t>e</w:t>
      </w:r>
      <w:r w:rsidRPr="003811D9">
        <w:rPr>
          <w:rFonts w:ascii="Arial" w:hAnsi="Arial" w:cs="Arial"/>
          <w:iCs/>
        </w:rPr>
        <w:t xml:space="preserve">vidence for the </w:t>
      </w:r>
      <w:r w:rsidR="00144B72">
        <w:rPr>
          <w:rFonts w:ascii="Arial" w:hAnsi="Arial" w:cs="Arial"/>
          <w:iCs/>
        </w:rPr>
        <w:t>m</w:t>
      </w:r>
      <w:r w:rsidRPr="003811D9">
        <w:rPr>
          <w:rFonts w:ascii="Arial" w:hAnsi="Arial" w:cs="Arial"/>
          <w:iCs/>
        </w:rPr>
        <w:t>easure (What are the gaps and opportunities to improve care?)</w:t>
      </w:r>
      <w:r w:rsidR="00144B72">
        <w:rPr>
          <w:rFonts w:ascii="Arial" w:hAnsi="Arial" w:cs="Arial"/>
          <w:iCs/>
        </w:rPr>
        <w:t>.</w:t>
      </w:r>
    </w:p>
    <w:p w14:paraId="3DAE3417" w14:textId="23FDD5CB" w:rsidR="00FC24D0" w:rsidRPr="00FA0F47" w:rsidRDefault="00FC24D0" w:rsidP="00FC24D0">
      <w:pPr>
        <w:pStyle w:val="ListParagraph"/>
        <w:ind w:left="1440"/>
        <w:rPr>
          <w:rFonts w:ascii="Arial" w:hAnsi="Arial" w:cs="Arial"/>
          <w:color w:val="388600"/>
        </w:rPr>
      </w:pPr>
      <w:r w:rsidRPr="00FA0F47">
        <w:rPr>
          <w:rFonts w:ascii="Arial" w:hAnsi="Arial" w:cs="Arial"/>
          <w:color w:val="388600"/>
        </w:rPr>
        <w:t xml:space="preserve">Autonomic dysfunction was found to be the most prevalent non-motor symptoms of PD, affecting more than 70% of patients in all stages of PD. Non-motor challenges may become the chief therapeutic challenge in advanced stages of PD, and many may not have effective treatment options. In a </w:t>
      </w:r>
      <w:r w:rsidR="006A08CB" w:rsidRPr="00FA0F47">
        <w:rPr>
          <w:rFonts w:ascii="Arial" w:hAnsi="Arial" w:cs="Arial"/>
          <w:color w:val="388600"/>
        </w:rPr>
        <w:t>two-year</w:t>
      </w:r>
      <w:r w:rsidRPr="00FA0F47">
        <w:rPr>
          <w:rFonts w:ascii="Arial" w:hAnsi="Arial" w:cs="Arial"/>
          <w:color w:val="388600"/>
        </w:rPr>
        <w:t xml:space="preserve"> study, development of symptoms in the cardiovascular, apathy, urinary, psychiatric, and fatigue domains was associated with significant worsening quality of life. </w:t>
      </w:r>
    </w:p>
    <w:p w14:paraId="20D6939C" w14:textId="77777777" w:rsidR="00FC24D0" w:rsidRPr="00FA0F47" w:rsidRDefault="00FC24D0" w:rsidP="00FC24D0">
      <w:pPr>
        <w:pStyle w:val="ListParagraph"/>
        <w:ind w:left="1440"/>
        <w:rPr>
          <w:rFonts w:ascii="Arial" w:hAnsi="Arial" w:cs="Arial"/>
          <w:color w:val="388600"/>
        </w:rPr>
      </w:pPr>
    </w:p>
    <w:p w14:paraId="3ED1ED34" w14:textId="741A9A0C" w:rsidR="00FC24D0" w:rsidRPr="00FA0F47" w:rsidRDefault="00FC24D0" w:rsidP="00FC24D0">
      <w:pPr>
        <w:pStyle w:val="ListParagraph"/>
        <w:ind w:left="1440"/>
        <w:rPr>
          <w:rFonts w:ascii="Arial" w:hAnsi="Arial" w:cs="Arial"/>
          <w:color w:val="388600"/>
        </w:rPr>
      </w:pPr>
      <w:r w:rsidRPr="00FA0F47">
        <w:rPr>
          <w:rFonts w:ascii="Arial" w:hAnsi="Arial" w:cs="Arial"/>
          <w:color w:val="388600"/>
        </w:rPr>
        <w:t xml:space="preserve">In a 2013 study by Baek </w:t>
      </w:r>
      <w:r w:rsidR="006A08CB" w:rsidRPr="00FA0F47">
        <w:rPr>
          <w:rFonts w:ascii="Arial" w:hAnsi="Arial" w:cs="Arial"/>
          <w:color w:val="388600"/>
        </w:rPr>
        <w:t>e</w:t>
      </w:r>
      <w:r w:rsidRPr="00FA0F47">
        <w:rPr>
          <w:rFonts w:ascii="Arial" w:hAnsi="Arial" w:cs="Arial"/>
          <w:color w:val="388600"/>
        </w:rPr>
        <w:t xml:space="preserve">t al., reviewing compliance with quality measure recommendations, it was noted that provider compliance rate for annual review of autonomic dysfunction was 22.8%. Martello et al. reported that compliance with this measure in a Movement Disorders Center was 83%, suggesting a difference in compliance between general neurologists and movement disorders specialists. </w:t>
      </w:r>
    </w:p>
    <w:p w14:paraId="246D795D" w14:textId="77777777" w:rsidR="00FC24D0" w:rsidRPr="00FA0F47" w:rsidRDefault="00FC24D0" w:rsidP="00FC24D0">
      <w:pPr>
        <w:pStyle w:val="ListParagraph"/>
        <w:ind w:left="1440"/>
        <w:rPr>
          <w:rFonts w:ascii="Arial" w:hAnsi="Arial" w:cs="Arial"/>
          <w:color w:val="388600"/>
        </w:rPr>
      </w:pPr>
    </w:p>
    <w:p w14:paraId="325E753B" w14:textId="1685C1EE" w:rsidR="00FC24D0" w:rsidRPr="00FA0F47" w:rsidRDefault="00FC24D0" w:rsidP="00FC24D0">
      <w:pPr>
        <w:pStyle w:val="ListParagraph"/>
        <w:ind w:left="1440"/>
        <w:rPr>
          <w:rFonts w:ascii="Arial" w:hAnsi="Arial" w:cs="Arial"/>
          <w:color w:val="388600"/>
        </w:rPr>
      </w:pPr>
      <w:r w:rsidRPr="00FA0F47">
        <w:rPr>
          <w:rFonts w:ascii="Arial" w:hAnsi="Arial" w:cs="Arial"/>
          <w:color w:val="388600"/>
        </w:rPr>
        <w:t xml:space="preserve">The following screening tools are not inclusive, but may be helpful for use in practice: </w:t>
      </w:r>
    </w:p>
    <w:p w14:paraId="7F90CA7E" w14:textId="5F113656" w:rsidR="00FC24D0" w:rsidRPr="00FA0F47" w:rsidRDefault="00FC24D0" w:rsidP="00FC24D0">
      <w:pPr>
        <w:pStyle w:val="ListParagraph"/>
        <w:ind w:left="1440" w:firstLine="720"/>
        <w:rPr>
          <w:rFonts w:ascii="Arial" w:hAnsi="Arial" w:cs="Arial"/>
          <w:color w:val="388600"/>
        </w:rPr>
      </w:pPr>
      <w:r w:rsidRPr="00FA0F47">
        <w:rPr>
          <w:rFonts w:ascii="Symbol" w:eastAsia="Symbol" w:hAnsi="Symbol" w:cs="Symbol"/>
          <w:color w:val="388600"/>
        </w:rPr>
        <w:t>·</w:t>
      </w:r>
      <w:r w:rsidRPr="00FA0F47">
        <w:rPr>
          <w:rFonts w:ascii="Arial" w:hAnsi="Arial" w:cs="Arial"/>
          <w:color w:val="388600"/>
        </w:rPr>
        <w:t xml:space="preserve"> Scales for Outcomes in Parkinson’s disease – Autonomic (SCOPA-AUT)</w:t>
      </w:r>
    </w:p>
    <w:p w14:paraId="1E79D8EB" w14:textId="77777777" w:rsidR="006A08CB" w:rsidRPr="00FA0F47" w:rsidRDefault="006A08CB" w:rsidP="00FC24D0">
      <w:pPr>
        <w:pStyle w:val="ListParagraph"/>
        <w:ind w:left="1440" w:firstLine="720"/>
        <w:rPr>
          <w:rFonts w:ascii="Arial" w:hAnsi="Arial" w:cs="Arial"/>
          <w:iCs/>
          <w:color w:val="388600"/>
        </w:rPr>
      </w:pPr>
    </w:p>
    <w:p w14:paraId="064E2197" w14:textId="7380D08E" w:rsidR="00ED5E4C" w:rsidRDefault="00ED5E4C" w:rsidP="00ED5E4C">
      <w:pPr>
        <w:pStyle w:val="ListParagraph"/>
        <w:numPr>
          <w:ilvl w:val="0"/>
          <w:numId w:val="2"/>
        </w:numPr>
        <w:rPr>
          <w:rFonts w:ascii="Arial" w:hAnsi="Arial" w:cs="Arial"/>
          <w:iCs/>
        </w:rPr>
      </w:pPr>
      <w:r w:rsidRPr="003811D9">
        <w:rPr>
          <w:rFonts w:ascii="Arial" w:hAnsi="Arial" w:cs="Arial"/>
          <w:iCs/>
        </w:rPr>
        <w:t xml:space="preserve">Expected </w:t>
      </w:r>
      <w:r w:rsidR="00144B72">
        <w:rPr>
          <w:rFonts w:ascii="Arial" w:hAnsi="Arial" w:cs="Arial"/>
          <w:iCs/>
        </w:rPr>
        <w:t>o</w:t>
      </w:r>
      <w:r w:rsidRPr="003811D9">
        <w:rPr>
          <w:rFonts w:ascii="Arial" w:hAnsi="Arial" w:cs="Arial"/>
          <w:iCs/>
        </w:rPr>
        <w:t>utcome (</w:t>
      </w:r>
      <w:r w:rsidR="00144B72">
        <w:rPr>
          <w:rFonts w:ascii="Arial" w:hAnsi="Arial" w:cs="Arial"/>
          <w:iCs/>
        </w:rPr>
        <w:t>p</w:t>
      </w:r>
      <w:r w:rsidRPr="003811D9">
        <w:rPr>
          <w:rFonts w:ascii="Arial" w:hAnsi="Arial" w:cs="Arial"/>
          <w:iCs/>
        </w:rPr>
        <w:t>atient care/patient health improvements, cost savings)</w:t>
      </w:r>
      <w:r w:rsidR="00144B72">
        <w:rPr>
          <w:rFonts w:ascii="Arial" w:hAnsi="Arial" w:cs="Arial"/>
          <w:iCs/>
        </w:rPr>
        <w:t>.</w:t>
      </w:r>
    </w:p>
    <w:p w14:paraId="3EF57F33" w14:textId="4CF9A0FB" w:rsidR="00116400" w:rsidRPr="00FA0F47" w:rsidRDefault="00116400" w:rsidP="00116400">
      <w:pPr>
        <w:pStyle w:val="ListParagraph"/>
        <w:ind w:left="1440"/>
        <w:rPr>
          <w:rFonts w:ascii="Arial" w:hAnsi="Arial" w:cs="Arial"/>
          <w:iCs/>
          <w:color w:val="388600"/>
        </w:rPr>
      </w:pPr>
      <w:r w:rsidRPr="00FA0F47">
        <w:rPr>
          <w:rFonts w:ascii="Arial" w:hAnsi="Arial" w:cs="Arial"/>
          <w:iCs/>
          <w:color w:val="388600"/>
        </w:rPr>
        <w:t>Address and eliminate symptoms and improve quality of life.</w:t>
      </w:r>
    </w:p>
    <w:p w14:paraId="185BEE20" w14:textId="77777777" w:rsidR="00116400" w:rsidRPr="00FA0F47" w:rsidRDefault="00116400" w:rsidP="00116400">
      <w:pPr>
        <w:pStyle w:val="ListParagraph"/>
        <w:ind w:left="1440"/>
        <w:rPr>
          <w:rFonts w:ascii="Arial" w:hAnsi="Arial" w:cs="Arial"/>
          <w:iCs/>
          <w:color w:val="388600"/>
        </w:rPr>
      </w:pPr>
    </w:p>
    <w:p w14:paraId="7015F10A" w14:textId="73FE3D97" w:rsidR="00ED5E4C" w:rsidRDefault="00ED5E4C" w:rsidP="000AEFA0">
      <w:pPr>
        <w:pStyle w:val="ListParagraph"/>
        <w:numPr>
          <w:ilvl w:val="0"/>
          <w:numId w:val="2"/>
        </w:numPr>
        <w:rPr>
          <w:rFonts w:ascii="Arial" w:hAnsi="Arial" w:cs="Arial"/>
        </w:rPr>
      </w:pPr>
      <w:r w:rsidRPr="000AEFA0">
        <w:rPr>
          <w:rFonts w:ascii="Arial" w:hAnsi="Arial" w:cs="Arial"/>
        </w:rPr>
        <w:t xml:space="preserve">Recommendation for the </w:t>
      </w:r>
      <w:r w:rsidR="00144B72" w:rsidRPr="000AEFA0">
        <w:rPr>
          <w:rFonts w:ascii="Arial" w:hAnsi="Arial" w:cs="Arial"/>
        </w:rPr>
        <w:t>m</w:t>
      </w:r>
      <w:r w:rsidRPr="000AEFA0">
        <w:rPr>
          <w:rFonts w:ascii="Arial" w:hAnsi="Arial" w:cs="Arial"/>
        </w:rPr>
        <w:t>easure (Is it based on a study, consensus opinion, USPSTF recommendation etc.?)</w:t>
      </w:r>
      <w:r w:rsidR="00144B72" w:rsidRPr="000AEFA0">
        <w:rPr>
          <w:rFonts w:ascii="Arial" w:hAnsi="Arial" w:cs="Arial"/>
        </w:rPr>
        <w:t>.</w:t>
      </w:r>
      <w:r w:rsidR="5E2F1D19" w:rsidRPr="000AEFA0">
        <w:rPr>
          <w:rFonts w:ascii="Arial" w:hAnsi="Arial" w:cs="Arial"/>
        </w:rPr>
        <w:t xml:space="preserve"> </w:t>
      </w:r>
      <w:r w:rsidR="5E2F1D19" w:rsidRPr="00FA0F47">
        <w:rPr>
          <w:rFonts w:ascii="Arial" w:hAnsi="Arial" w:cs="Arial"/>
          <w:color w:val="388600"/>
        </w:rPr>
        <w:t>Guideline</w:t>
      </w:r>
    </w:p>
    <w:p w14:paraId="1CECD84E" w14:textId="77777777" w:rsidR="00116400" w:rsidRPr="003811D9" w:rsidRDefault="00116400" w:rsidP="00116400">
      <w:pPr>
        <w:pStyle w:val="ListParagraph"/>
        <w:ind w:left="1440"/>
        <w:contextualSpacing w:val="0"/>
        <w:rPr>
          <w:rFonts w:ascii="Arial" w:hAnsi="Arial" w:cs="Arial"/>
          <w:iCs/>
        </w:rPr>
      </w:pPr>
    </w:p>
    <w:p w14:paraId="78FBDA71" w14:textId="77777777" w:rsidR="00ED5E4C" w:rsidRPr="00FA0F47" w:rsidRDefault="00ED5E4C" w:rsidP="00FA0F47">
      <w:pPr>
        <w:pStyle w:val="Heading2"/>
        <w:numPr>
          <w:ilvl w:val="0"/>
          <w:numId w:val="16"/>
        </w:numPr>
        <w:rPr>
          <w:rFonts w:ascii="Arial" w:hAnsi="Arial" w:cs="Arial"/>
          <w:b/>
          <w:bCs/>
          <w:color w:val="auto"/>
          <w:sz w:val="22"/>
          <w:szCs w:val="22"/>
        </w:rPr>
      </w:pPr>
      <w:r w:rsidRPr="00FA0F47">
        <w:rPr>
          <w:rFonts w:ascii="Arial" w:hAnsi="Arial" w:cs="Arial"/>
          <w:b/>
          <w:bCs/>
          <w:color w:val="auto"/>
          <w:sz w:val="22"/>
          <w:szCs w:val="22"/>
        </w:rPr>
        <w:t>Reliability/Validity</w:t>
      </w:r>
    </w:p>
    <w:p w14:paraId="033E352A" w14:textId="6833BA49" w:rsidR="00AD3462" w:rsidRPr="003811D9" w:rsidRDefault="00ED5E4C" w:rsidP="003811D9">
      <w:pPr>
        <w:pStyle w:val="ListParagraph"/>
        <w:numPr>
          <w:ilvl w:val="0"/>
          <w:numId w:val="7"/>
        </w:numPr>
        <w:ind w:left="1440" w:hanging="360"/>
        <w:rPr>
          <w:rFonts w:ascii="Arial" w:hAnsi="Arial" w:cs="Arial"/>
          <w:iCs/>
        </w:rPr>
      </w:pPr>
      <w:r w:rsidRPr="003811D9">
        <w:rPr>
          <w:rFonts w:ascii="Arial" w:hAnsi="Arial" w:cs="Arial"/>
          <w:iCs/>
        </w:rPr>
        <w:t xml:space="preserve">What testing has been performed at the level of </w:t>
      </w:r>
      <w:r w:rsidR="00784BCE" w:rsidRPr="003811D9">
        <w:rPr>
          <w:rFonts w:ascii="Arial" w:hAnsi="Arial" w:cs="Arial"/>
          <w:iCs/>
        </w:rPr>
        <w:t xml:space="preserve">implementation? </w:t>
      </w:r>
      <w:r w:rsidR="00D50BF8" w:rsidRPr="003811D9">
        <w:rPr>
          <w:rFonts w:ascii="Arial" w:hAnsi="Arial" w:cs="Arial"/>
          <w:iCs/>
        </w:rPr>
        <w:t xml:space="preserve">(MIPS requires </w:t>
      </w:r>
      <w:r w:rsidR="008D6829">
        <w:rPr>
          <w:rFonts w:ascii="Arial" w:hAnsi="Arial" w:cs="Arial"/>
          <w:iCs/>
        </w:rPr>
        <w:t xml:space="preserve">full </w:t>
      </w:r>
      <w:r w:rsidR="00D50BF8" w:rsidRPr="003811D9">
        <w:rPr>
          <w:rFonts w:ascii="Arial" w:hAnsi="Arial" w:cs="Arial"/>
          <w:iCs/>
        </w:rPr>
        <w:t>measure testing at the individual clinician level (and may also need to be tested at the group level) for MIPS</w:t>
      </w:r>
      <w:r w:rsidR="000D0ECA" w:rsidRPr="003811D9">
        <w:rPr>
          <w:rFonts w:ascii="Arial" w:hAnsi="Arial" w:cs="Arial"/>
          <w:iCs/>
        </w:rPr>
        <w:t xml:space="preserve"> Clinical Quality Measures</w:t>
      </w:r>
      <w:r w:rsidR="00D50BF8" w:rsidRPr="003811D9">
        <w:rPr>
          <w:rFonts w:ascii="Arial" w:hAnsi="Arial" w:cs="Arial"/>
          <w:iCs/>
        </w:rPr>
        <w:t xml:space="preserve"> </w:t>
      </w:r>
      <w:r w:rsidR="000D0ECA" w:rsidRPr="003811D9">
        <w:rPr>
          <w:rFonts w:ascii="Arial" w:hAnsi="Arial" w:cs="Arial"/>
          <w:iCs/>
        </w:rPr>
        <w:t>(</w:t>
      </w:r>
      <w:r w:rsidR="00D50BF8" w:rsidRPr="003811D9">
        <w:rPr>
          <w:rFonts w:ascii="Arial" w:hAnsi="Arial" w:cs="Arial"/>
          <w:iCs/>
        </w:rPr>
        <w:t>CQM</w:t>
      </w:r>
      <w:r w:rsidR="000D0ECA" w:rsidRPr="003811D9">
        <w:rPr>
          <w:rFonts w:ascii="Arial" w:hAnsi="Arial" w:cs="Arial"/>
          <w:iCs/>
        </w:rPr>
        <w:t>s)</w:t>
      </w:r>
      <w:r w:rsidR="00D50BF8" w:rsidRPr="003811D9">
        <w:rPr>
          <w:rFonts w:ascii="Arial" w:hAnsi="Arial" w:cs="Arial"/>
          <w:iCs/>
        </w:rPr>
        <w:t xml:space="preserve"> and </w:t>
      </w:r>
      <w:r w:rsidR="000D0ECA" w:rsidRPr="003811D9">
        <w:rPr>
          <w:rFonts w:ascii="Arial" w:hAnsi="Arial" w:cs="Arial"/>
          <w:iCs/>
        </w:rPr>
        <w:t>Electronic Clinical Quality Measures (</w:t>
      </w:r>
      <w:r w:rsidR="00D50BF8" w:rsidRPr="003811D9">
        <w:rPr>
          <w:rFonts w:ascii="Arial" w:hAnsi="Arial" w:cs="Arial"/>
          <w:iCs/>
        </w:rPr>
        <w:t>eCQM</w:t>
      </w:r>
      <w:r w:rsidR="000D0ECA" w:rsidRPr="003811D9">
        <w:rPr>
          <w:rFonts w:ascii="Arial" w:hAnsi="Arial" w:cs="Arial"/>
          <w:iCs/>
        </w:rPr>
        <w:t>s)</w:t>
      </w:r>
      <w:r w:rsidR="00D50BF8" w:rsidRPr="003811D9">
        <w:rPr>
          <w:rFonts w:ascii="Arial" w:hAnsi="Arial" w:cs="Arial"/>
          <w:iCs/>
        </w:rPr>
        <w:t xml:space="preserve"> collection types. Administrative claims measures tested at the group level require a reliability threshold to be implemented at the group level</w:t>
      </w:r>
      <w:r w:rsidR="00DE4ABB">
        <w:rPr>
          <w:rFonts w:ascii="Arial" w:hAnsi="Arial" w:cs="Arial"/>
          <w:iCs/>
        </w:rPr>
        <w:t>.</w:t>
      </w:r>
      <w:r w:rsidR="00D50BF8" w:rsidRPr="003811D9">
        <w:rPr>
          <w:rFonts w:ascii="Arial" w:hAnsi="Arial" w:cs="Arial"/>
          <w:iCs/>
        </w:rPr>
        <w:t xml:space="preserve">) </w:t>
      </w:r>
    </w:p>
    <w:p w14:paraId="70F80DC5" w14:textId="73229694" w:rsidR="00ED5E4C" w:rsidRPr="003811D9" w:rsidRDefault="00ED5E4C" w:rsidP="003811D9">
      <w:pPr>
        <w:ind w:left="1440"/>
        <w:rPr>
          <w:rFonts w:ascii="Arial" w:hAnsi="Arial" w:cs="Arial"/>
          <w:iCs/>
        </w:rPr>
      </w:pPr>
      <w:r w:rsidRPr="003811D9">
        <w:rPr>
          <w:rFonts w:ascii="Arial" w:hAnsi="Arial" w:cs="Arial"/>
          <w:iCs/>
        </w:rPr>
        <w:t xml:space="preserve">Please provide testing results including the N value, Bonnie test case results, correlation coefficient and any other pertinent information or values to be considered. </w:t>
      </w:r>
    </w:p>
    <w:p w14:paraId="77352DFB" w14:textId="361B462A" w:rsidR="00ED5E4C" w:rsidRPr="003811D9" w:rsidRDefault="00ED5E4C" w:rsidP="003811D9">
      <w:pPr>
        <w:pStyle w:val="ListParagraph"/>
        <w:numPr>
          <w:ilvl w:val="1"/>
          <w:numId w:val="6"/>
        </w:numPr>
        <w:ind w:left="1890"/>
        <w:rPr>
          <w:rFonts w:ascii="Arial" w:hAnsi="Arial" w:cs="Arial"/>
          <w:iCs/>
        </w:rPr>
      </w:pPr>
      <w:r w:rsidRPr="003811D9">
        <w:rPr>
          <w:rFonts w:ascii="Arial" w:hAnsi="Arial" w:cs="Arial"/>
          <w:iCs/>
        </w:rPr>
        <w:t>Reliability Testing Results</w:t>
      </w:r>
      <w:r w:rsidR="00C448ED">
        <w:rPr>
          <w:rFonts w:ascii="Arial" w:hAnsi="Arial" w:cs="Arial"/>
          <w:iCs/>
        </w:rPr>
        <w:t xml:space="preserve"> at the accountable entity level</w:t>
      </w:r>
      <w:proofErr w:type="gramStart"/>
      <w:r w:rsidR="00B042A6">
        <w:rPr>
          <w:rFonts w:ascii="Arial" w:hAnsi="Arial" w:cs="Arial"/>
          <w:iCs/>
        </w:rPr>
        <w:t xml:space="preserve"> </w:t>
      </w:r>
      <w:r w:rsidR="00B042A6" w:rsidRPr="00FA0F47">
        <w:rPr>
          <w:rFonts w:ascii="Arial" w:hAnsi="Arial" w:cs="Arial"/>
          <w:iCs/>
          <w:color w:val="388600"/>
        </w:rPr>
        <w:t>The</w:t>
      </w:r>
      <w:proofErr w:type="gramEnd"/>
      <w:r w:rsidR="00B042A6" w:rsidRPr="00FA0F47">
        <w:rPr>
          <w:rFonts w:ascii="Arial" w:hAnsi="Arial" w:cs="Arial"/>
          <w:iCs/>
          <w:color w:val="388600"/>
        </w:rPr>
        <w:t xml:space="preserve"> AAN used signal-to-noise reliability analysis for this measure at the individual clinician level. The sample size was </w:t>
      </w:r>
      <w:r w:rsidR="00B52F2B" w:rsidRPr="00FA0F47">
        <w:rPr>
          <w:rFonts w:ascii="Arial" w:hAnsi="Arial" w:cs="Arial"/>
          <w:iCs/>
          <w:color w:val="388600"/>
        </w:rPr>
        <w:t>163</w:t>
      </w:r>
      <w:r w:rsidR="00654E52" w:rsidRPr="00FA0F47">
        <w:rPr>
          <w:rFonts w:ascii="Arial" w:hAnsi="Arial" w:cs="Arial"/>
          <w:iCs/>
          <w:color w:val="388600"/>
        </w:rPr>
        <w:t xml:space="preserve"> and the result was 0.96. This was calculated using a beta-binomial model.</w:t>
      </w:r>
    </w:p>
    <w:p w14:paraId="4E31FA48" w14:textId="7ABE5BBD" w:rsidR="00ED5E4C" w:rsidRDefault="00BC7A62" w:rsidP="003811D9">
      <w:pPr>
        <w:pStyle w:val="ListParagraph"/>
        <w:numPr>
          <w:ilvl w:val="1"/>
          <w:numId w:val="6"/>
        </w:numPr>
        <w:ind w:left="1890"/>
        <w:rPr>
          <w:rFonts w:ascii="Arial" w:hAnsi="Arial" w:cs="Arial"/>
          <w:iCs/>
        </w:rPr>
      </w:pPr>
      <w:r>
        <w:rPr>
          <w:rFonts w:ascii="Arial" w:hAnsi="Arial" w:cs="Arial"/>
          <w:iCs/>
        </w:rPr>
        <w:t xml:space="preserve">Face </w:t>
      </w:r>
      <w:r w:rsidR="00ED5E4C" w:rsidRPr="003811D9">
        <w:rPr>
          <w:rFonts w:ascii="Arial" w:hAnsi="Arial" w:cs="Arial"/>
          <w:iCs/>
        </w:rPr>
        <w:t xml:space="preserve">Validity Testing Results, </w:t>
      </w:r>
      <w:r w:rsidR="00144B72">
        <w:rPr>
          <w:rFonts w:ascii="Arial" w:hAnsi="Arial" w:cs="Arial"/>
          <w:iCs/>
        </w:rPr>
        <w:t>C</w:t>
      </w:r>
      <w:r w:rsidR="00ED5E4C" w:rsidRPr="003811D9">
        <w:rPr>
          <w:rFonts w:ascii="Arial" w:hAnsi="Arial" w:cs="Arial"/>
          <w:iCs/>
        </w:rPr>
        <w:t xml:space="preserve">linician </w:t>
      </w:r>
      <w:r w:rsidR="00144B72">
        <w:rPr>
          <w:rFonts w:ascii="Arial" w:hAnsi="Arial" w:cs="Arial"/>
          <w:iCs/>
        </w:rPr>
        <w:t>S</w:t>
      </w:r>
      <w:r w:rsidR="00ED5E4C" w:rsidRPr="003811D9">
        <w:rPr>
          <w:rFonts w:ascii="Arial" w:hAnsi="Arial" w:cs="Arial"/>
          <w:iCs/>
        </w:rPr>
        <w:t>ite</w:t>
      </w:r>
      <w:r w:rsidR="003C0773">
        <w:rPr>
          <w:rFonts w:ascii="Arial" w:hAnsi="Arial" w:cs="Arial"/>
          <w:iCs/>
        </w:rPr>
        <w:t>s</w:t>
      </w:r>
      <w:r w:rsidR="00654E52">
        <w:rPr>
          <w:rFonts w:ascii="Arial" w:hAnsi="Arial" w:cs="Arial"/>
          <w:iCs/>
        </w:rPr>
        <w:t xml:space="preserve"> </w:t>
      </w:r>
      <w:proofErr w:type="gramStart"/>
      <w:r w:rsidR="00654E52" w:rsidRPr="00FA0F47">
        <w:rPr>
          <w:rFonts w:ascii="Arial" w:hAnsi="Arial" w:cs="Arial"/>
          <w:iCs/>
          <w:color w:val="388600"/>
        </w:rPr>
        <w:t>The</w:t>
      </w:r>
      <w:proofErr w:type="gramEnd"/>
      <w:r w:rsidR="00654E52" w:rsidRPr="00FA0F47">
        <w:rPr>
          <w:rFonts w:ascii="Arial" w:hAnsi="Arial" w:cs="Arial"/>
          <w:iCs/>
          <w:color w:val="388600"/>
        </w:rPr>
        <w:t xml:space="preserve"> AAN conducted a face validity survey of clinician experts. The sample size was </w:t>
      </w:r>
      <w:r w:rsidR="00EF106C" w:rsidRPr="00FA0F47">
        <w:rPr>
          <w:rFonts w:ascii="Arial" w:hAnsi="Arial" w:cs="Arial"/>
          <w:iCs/>
          <w:color w:val="388600"/>
        </w:rPr>
        <w:t>18</w:t>
      </w:r>
      <w:r w:rsidR="00654E52" w:rsidRPr="00FA0F47">
        <w:rPr>
          <w:rFonts w:ascii="Arial" w:hAnsi="Arial" w:cs="Arial"/>
          <w:iCs/>
          <w:color w:val="388600"/>
        </w:rPr>
        <w:t xml:space="preserve">, and </w:t>
      </w:r>
      <w:r w:rsidR="00EF106C" w:rsidRPr="00FA0F47">
        <w:rPr>
          <w:rFonts w:ascii="Arial" w:hAnsi="Arial" w:cs="Arial"/>
          <w:iCs/>
          <w:color w:val="388600"/>
        </w:rPr>
        <w:t>15</w:t>
      </w:r>
      <w:r w:rsidR="00654E52" w:rsidRPr="00FA0F47">
        <w:rPr>
          <w:rFonts w:ascii="Arial" w:hAnsi="Arial" w:cs="Arial"/>
          <w:iCs/>
          <w:color w:val="388600"/>
        </w:rPr>
        <w:t xml:space="preserve"> voted in agreement that the measure could differentiate good from poor quality care.</w:t>
      </w:r>
    </w:p>
    <w:p w14:paraId="0F56220D" w14:textId="131A7904" w:rsidR="00665ABA" w:rsidRPr="003811D9" w:rsidRDefault="00665ABA" w:rsidP="211D164F">
      <w:pPr>
        <w:pStyle w:val="ListParagraph"/>
        <w:numPr>
          <w:ilvl w:val="1"/>
          <w:numId w:val="6"/>
        </w:numPr>
        <w:ind w:left="1890"/>
        <w:rPr>
          <w:rFonts w:ascii="Arial" w:hAnsi="Arial" w:cs="Arial"/>
        </w:rPr>
      </w:pPr>
      <w:r w:rsidRPr="211D164F">
        <w:rPr>
          <w:rFonts w:ascii="Arial" w:hAnsi="Arial" w:cs="Arial"/>
        </w:rPr>
        <w:t xml:space="preserve">Empiric Validity </w:t>
      </w:r>
      <w:r w:rsidR="0016710D" w:rsidRPr="211D164F">
        <w:rPr>
          <w:rFonts w:ascii="Arial" w:hAnsi="Arial" w:cs="Arial"/>
        </w:rPr>
        <w:t xml:space="preserve">Testing Results at the accountable entity </w:t>
      </w:r>
      <w:proofErr w:type="gramStart"/>
      <w:r w:rsidR="0016710D" w:rsidRPr="211D164F">
        <w:rPr>
          <w:rFonts w:ascii="Arial" w:hAnsi="Arial" w:cs="Arial"/>
        </w:rPr>
        <w:t>level</w:t>
      </w:r>
      <w:r w:rsidRPr="211D164F">
        <w:rPr>
          <w:rFonts w:ascii="Arial" w:hAnsi="Arial" w:cs="Arial"/>
        </w:rPr>
        <w:t xml:space="preserve"> </w:t>
      </w:r>
      <w:r w:rsidR="00654E52">
        <w:rPr>
          <w:rFonts w:ascii="Arial" w:hAnsi="Arial" w:cs="Arial"/>
        </w:rPr>
        <w:t xml:space="preserve"> </w:t>
      </w:r>
      <w:r w:rsidR="00654E52" w:rsidRPr="00FA0F47">
        <w:rPr>
          <w:rFonts w:ascii="Arial" w:hAnsi="Arial" w:cs="Arial"/>
          <w:color w:val="388600"/>
        </w:rPr>
        <w:t>The</w:t>
      </w:r>
      <w:proofErr w:type="gramEnd"/>
      <w:r w:rsidR="00654E52" w:rsidRPr="00FA0F47">
        <w:rPr>
          <w:rFonts w:ascii="Arial" w:hAnsi="Arial" w:cs="Arial"/>
          <w:color w:val="388600"/>
        </w:rPr>
        <w:t xml:space="preserve"> AAN conducted empiric validity at the individual clinician level using a correlation analysis. The sample size was </w:t>
      </w:r>
      <w:r w:rsidR="00CC2F13" w:rsidRPr="00FA0F47">
        <w:rPr>
          <w:rFonts w:ascii="Arial" w:hAnsi="Arial" w:cs="Arial"/>
          <w:color w:val="388600"/>
        </w:rPr>
        <w:t>149</w:t>
      </w:r>
      <w:r w:rsidR="00654E52" w:rsidRPr="00FA0F47">
        <w:rPr>
          <w:rFonts w:ascii="Arial" w:hAnsi="Arial" w:cs="Arial"/>
          <w:color w:val="388600"/>
        </w:rPr>
        <w:t xml:space="preserve"> and the correlation coefficient was </w:t>
      </w:r>
      <w:r w:rsidR="003C67DE" w:rsidRPr="00FA0F47">
        <w:rPr>
          <w:rFonts w:ascii="Arial" w:hAnsi="Arial" w:cs="Arial"/>
          <w:color w:val="388600"/>
        </w:rPr>
        <w:t>0.3815 (p-value &lt; 0.0001); r-squared value: 0.1455</w:t>
      </w:r>
      <w:r w:rsidR="00FD7900" w:rsidRPr="00FA0F47">
        <w:rPr>
          <w:rFonts w:ascii="Arial" w:hAnsi="Arial" w:cs="Arial"/>
          <w:color w:val="388600"/>
        </w:rPr>
        <w:t>.</w:t>
      </w:r>
    </w:p>
    <w:p w14:paraId="3C95EC4D" w14:textId="52B28497" w:rsidR="0E4CCD3D" w:rsidRDefault="0E4CCD3D" w:rsidP="211D164F">
      <w:pPr>
        <w:pStyle w:val="ListParagraph"/>
        <w:numPr>
          <w:ilvl w:val="1"/>
          <w:numId w:val="6"/>
        </w:numPr>
        <w:ind w:left="1890"/>
      </w:pPr>
      <w:r w:rsidRPr="211D164F">
        <w:rPr>
          <w:rFonts w:ascii="Arial" w:hAnsi="Arial" w:cs="Arial"/>
        </w:rPr>
        <w:t>Data Element/Patient Encounter Level Testing</w:t>
      </w:r>
      <w:r w:rsidR="00FD7900">
        <w:rPr>
          <w:rFonts w:ascii="Arial" w:hAnsi="Arial" w:cs="Arial"/>
        </w:rPr>
        <w:t xml:space="preserve"> </w:t>
      </w:r>
      <w:proofErr w:type="gramStart"/>
      <w:r w:rsidR="00FD7900" w:rsidRPr="00FA0F47">
        <w:rPr>
          <w:rFonts w:ascii="Arial" w:hAnsi="Arial" w:cs="Arial"/>
          <w:color w:val="388600"/>
        </w:rPr>
        <w:t>The</w:t>
      </w:r>
      <w:proofErr w:type="gramEnd"/>
      <w:r w:rsidR="00FD7900" w:rsidRPr="00FA0F47">
        <w:rPr>
          <w:rFonts w:ascii="Arial" w:hAnsi="Arial" w:cs="Arial"/>
          <w:color w:val="388600"/>
        </w:rPr>
        <w:t xml:space="preserve"> AAN conducted patient encounter level testing through an 8 &amp; 30 review. The sample size was 8 encounters and there was 100% agreement.</w:t>
      </w:r>
    </w:p>
    <w:p w14:paraId="6E5B7EFC" w14:textId="3DD80802" w:rsidR="00ED5E4C" w:rsidRPr="00A708D6" w:rsidRDefault="00ED5E4C" w:rsidP="211D164F">
      <w:pPr>
        <w:pStyle w:val="ListParagraph"/>
        <w:numPr>
          <w:ilvl w:val="1"/>
          <w:numId w:val="6"/>
        </w:numPr>
        <w:ind w:left="1890"/>
        <w:rPr>
          <w:rFonts w:ascii="Arial" w:hAnsi="Arial" w:cs="Arial"/>
        </w:rPr>
      </w:pPr>
      <w:r w:rsidRPr="211D164F">
        <w:rPr>
          <w:rFonts w:ascii="Arial" w:hAnsi="Arial" w:cs="Arial"/>
        </w:rPr>
        <w:t xml:space="preserve">Exclusion </w:t>
      </w:r>
      <w:r w:rsidR="00DE4ABB" w:rsidRPr="211D164F">
        <w:rPr>
          <w:rFonts w:ascii="Arial" w:hAnsi="Arial" w:cs="Arial"/>
        </w:rPr>
        <w:t>F</w:t>
      </w:r>
      <w:r w:rsidRPr="211D164F">
        <w:rPr>
          <w:rFonts w:ascii="Arial" w:hAnsi="Arial" w:cs="Arial"/>
        </w:rPr>
        <w:t>requency</w:t>
      </w:r>
      <w:r w:rsidR="003C0773" w:rsidRPr="211D164F">
        <w:rPr>
          <w:rFonts w:ascii="Arial" w:hAnsi="Arial" w:cs="Arial"/>
        </w:rPr>
        <w:t xml:space="preserve"> </w:t>
      </w:r>
    </w:p>
    <w:p w14:paraId="472379CA" w14:textId="0A13E681" w:rsidR="00ED5E4C" w:rsidRPr="00A708D6" w:rsidRDefault="00ED5E4C" w:rsidP="211D164F">
      <w:pPr>
        <w:pStyle w:val="ListParagraph"/>
        <w:numPr>
          <w:ilvl w:val="1"/>
          <w:numId w:val="6"/>
        </w:numPr>
        <w:spacing w:line="360" w:lineRule="auto"/>
        <w:ind w:left="1890"/>
        <w:rPr>
          <w:rFonts w:ascii="Arial" w:hAnsi="Arial" w:cs="Arial"/>
        </w:rPr>
      </w:pPr>
      <w:r w:rsidRPr="211D164F">
        <w:rPr>
          <w:rFonts w:ascii="Arial" w:hAnsi="Arial" w:cs="Arial"/>
        </w:rPr>
        <w:t xml:space="preserve">What were the minimum sample sizes used for reliability results? </w:t>
      </w:r>
      <w:r w:rsidR="00FD7900">
        <w:rPr>
          <w:rFonts w:ascii="Arial" w:hAnsi="Arial" w:cs="Arial"/>
        </w:rPr>
        <w:t xml:space="preserve"> </w:t>
      </w:r>
      <w:r w:rsidR="00FD7900" w:rsidRPr="00FA0F47">
        <w:rPr>
          <w:rFonts w:ascii="Arial" w:hAnsi="Arial" w:cs="Arial"/>
          <w:color w:val="388600"/>
        </w:rPr>
        <w:t xml:space="preserve">Sample size was </w:t>
      </w:r>
      <w:r w:rsidR="006671E9" w:rsidRPr="00FA0F47">
        <w:rPr>
          <w:rFonts w:ascii="Arial" w:hAnsi="Arial" w:cs="Arial"/>
          <w:color w:val="388600"/>
        </w:rPr>
        <w:t>163</w:t>
      </w:r>
      <w:r w:rsidR="00FD7900" w:rsidRPr="00FA0F47">
        <w:rPr>
          <w:rFonts w:ascii="Arial" w:hAnsi="Arial" w:cs="Arial"/>
          <w:color w:val="388600"/>
        </w:rPr>
        <w:t>.</w:t>
      </w:r>
    </w:p>
    <w:p w14:paraId="3704181E" w14:textId="23B80F9E" w:rsidR="00ED5E4C" w:rsidRPr="003811D9" w:rsidRDefault="00ED5E4C" w:rsidP="003811D9">
      <w:pPr>
        <w:pStyle w:val="ListParagraph"/>
        <w:numPr>
          <w:ilvl w:val="1"/>
          <w:numId w:val="10"/>
        </w:numPr>
        <w:rPr>
          <w:rFonts w:ascii="Arial" w:hAnsi="Arial" w:cs="Arial"/>
          <w:iCs/>
        </w:rPr>
      </w:pPr>
      <w:r w:rsidRPr="003811D9">
        <w:rPr>
          <w:rFonts w:ascii="Arial" w:hAnsi="Arial" w:cs="Arial"/>
          <w:iCs/>
        </w:rPr>
        <w:t>Other Information</w:t>
      </w:r>
    </w:p>
    <w:p w14:paraId="331E19A8" w14:textId="46384AD6"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Is it risk adjusted?</w:t>
      </w:r>
      <w:r w:rsidR="00EE7772">
        <w:rPr>
          <w:rFonts w:ascii="Arial" w:hAnsi="Arial" w:cs="Arial"/>
          <w:iCs/>
        </w:rPr>
        <w:t xml:space="preserve"> </w:t>
      </w:r>
      <w:r w:rsidR="00EE7772" w:rsidRPr="00FA0F47">
        <w:rPr>
          <w:rFonts w:ascii="Arial" w:hAnsi="Arial" w:cs="Arial"/>
          <w:iCs/>
          <w:color w:val="388600"/>
        </w:rPr>
        <w:t>No</w:t>
      </w:r>
      <w:r w:rsidRPr="003811D9">
        <w:rPr>
          <w:rFonts w:ascii="Arial" w:hAnsi="Arial" w:cs="Arial"/>
          <w:iCs/>
        </w:rPr>
        <w:t xml:space="preserve"> If so, how?</w:t>
      </w:r>
    </w:p>
    <w:p w14:paraId="24CB04F2" w14:textId="77777777"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What benchmarking information is available?</w:t>
      </w:r>
    </w:p>
    <w:p w14:paraId="1B897343" w14:textId="3795AF55" w:rsidR="00ED5E4C" w:rsidRDefault="00ED5E4C" w:rsidP="003811D9">
      <w:pPr>
        <w:pStyle w:val="ListParagraph"/>
        <w:numPr>
          <w:ilvl w:val="0"/>
          <w:numId w:val="11"/>
        </w:numPr>
        <w:ind w:left="1890"/>
        <w:rPr>
          <w:rFonts w:ascii="Arial" w:hAnsi="Arial" w:cs="Arial"/>
          <w:iCs/>
        </w:rPr>
      </w:pPr>
      <w:r w:rsidRPr="003811D9">
        <w:rPr>
          <w:rFonts w:ascii="Arial" w:hAnsi="Arial" w:cs="Arial"/>
          <w:iCs/>
        </w:rPr>
        <w:lastRenderedPageBreak/>
        <w:t>Collection Type: Specify the data collection type.</w:t>
      </w:r>
      <w:r w:rsidR="00FD7900">
        <w:rPr>
          <w:rFonts w:ascii="Arial" w:hAnsi="Arial" w:cs="Arial"/>
          <w:iCs/>
        </w:rPr>
        <w:t xml:space="preserve"> </w:t>
      </w:r>
      <w:r w:rsidR="00FD7900" w:rsidRPr="00FA0F47">
        <w:rPr>
          <w:rFonts w:ascii="Arial" w:hAnsi="Arial" w:cs="Arial"/>
          <w:iCs/>
          <w:color w:val="388600"/>
        </w:rPr>
        <w:t>Clinical</w:t>
      </w:r>
      <w:r w:rsidR="00160C61" w:rsidRPr="00FA0F47">
        <w:rPr>
          <w:rFonts w:ascii="Arial" w:hAnsi="Arial" w:cs="Arial"/>
          <w:iCs/>
          <w:color w:val="388600"/>
        </w:rPr>
        <w:t xml:space="preserve"> registries and electronic health record data.</w:t>
      </w:r>
    </w:p>
    <w:p w14:paraId="1EDB6D7E" w14:textId="11407501" w:rsidR="002A6F41" w:rsidRDefault="002A6F41" w:rsidP="003811D9">
      <w:pPr>
        <w:pStyle w:val="ListParagraph"/>
        <w:numPr>
          <w:ilvl w:val="0"/>
          <w:numId w:val="11"/>
        </w:numPr>
        <w:ind w:left="1890"/>
        <w:rPr>
          <w:rFonts w:ascii="Arial" w:hAnsi="Arial" w:cs="Arial"/>
          <w:iCs/>
        </w:rPr>
      </w:pPr>
      <w:r>
        <w:rPr>
          <w:rFonts w:ascii="Arial" w:hAnsi="Arial" w:cs="Arial"/>
          <w:iCs/>
        </w:rPr>
        <w:t xml:space="preserve">Specify </w:t>
      </w:r>
      <w:r w:rsidR="00D60F1E">
        <w:rPr>
          <w:rFonts w:ascii="Arial" w:hAnsi="Arial" w:cs="Arial"/>
          <w:iCs/>
        </w:rPr>
        <w:t xml:space="preserve">measure </w:t>
      </w:r>
      <w:r>
        <w:rPr>
          <w:rFonts w:ascii="Arial" w:hAnsi="Arial" w:cs="Arial"/>
          <w:iCs/>
        </w:rPr>
        <w:t>stage of development</w:t>
      </w:r>
      <w:r w:rsidR="00D60F1E">
        <w:rPr>
          <w:rFonts w:ascii="Arial" w:hAnsi="Arial" w:cs="Arial"/>
          <w:iCs/>
        </w:rPr>
        <w:t>.</w:t>
      </w:r>
      <w:r w:rsidR="003C309F">
        <w:rPr>
          <w:rFonts w:ascii="Arial" w:hAnsi="Arial" w:cs="Arial"/>
          <w:iCs/>
        </w:rPr>
        <w:t xml:space="preserve"> </w:t>
      </w:r>
      <w:r w:rsidR="003C309F" w:rsidRPr="00FA0F47">
        <w:rPr>
          <w:rFonts w:ascii="Arial" w:hAnsi="Arial" w:cs="Arial"/>
          <w:iCs/>
          <w:color w:val="388600"/>
        </w:rPr>
        <w:t>Measure use, continuing evaluation &amp; maintenance</w:t>
      </w:r>
    </w:p>
    <w:p w14:paraId="476E0CB5" w14:textId="7A577A40" w:rsidR="00D86E37" w:rsidRDefault="001359DA" w:rsidP="003811D9">
      <w:pPr>
        <w:pStyle w:val="ListParagraph"/>
        <w:numPr>
          <w:ilvl w:val="0"/>
          <w:numId w:val="11"/>
        </w:numPr>
        <w:ind w:left="1890"/>
        <w:rPr>
          <w:rFonts w:ascii="Arial" w:hAnsi="Arial" w:cs="Arial"/>
          <w:iCs/>
        </w:rPr>
      </w:pPr>
      <w:r>
        <w:rPr>
          <w:rFonts w:ascii="Arial" w:hAnsi="Arial" w:cs="Arial"/>
          <w:iCs/>
        </w:rPr>
        <w:t>For Patient Reported Outcome Performance Measures</w:t>
      </w:r>
      <w:r w:rsidR="00D60F1E">
        <w:rPr>
          <w:rFonts w:ascii="Arial" w:hAnsi="Arial" w:cs="Arial"/>
          <w:iCs/>
        </w:rPr>
        <w:t>:</w:t>
      </w:r>
    </w:p>
    <w:p w14:paraId="248E770F" w14:textId="4B80D05F" w:rsidR="00D920F0" w:rsidRDefault="00090865" w:rsidP="001F1DB8">
      <w:pPr>
        <w:pStyle w:val="ListParagraph"/>
        <w:numPr>
          <w:ilvl w:val="1"/>
          <w:numId w:val="13"/>
        </w:numPr>
        <w:rPr>
          <w:rFonts w:ascii="Arial" w:hAnsi="Arial" w:cs="Arial"/>
        </w:rPr>
      </w:pPr>
      <w:r w:rsidRPr="00D920F0">
        <w:rPr>
          <w:rFonts w:ascii="Arial" w:hAnsi="Arial" w:cs="Arial"/>
          <w:iCs/>
        </w:rPr>
        <w:t>T</w:t>
      </w:r>
      <w:r w:rsidR="00CE6DE8" w:rsidRPr="00D920F0">
        <w:rPr>
          <w:rFonts w:ascii="Arial" w:hAnsi="Arial" w:cs="Arial"/>
          <w:iCs/>
        </w:rPr>
        <w:t>he survey or tool has been tested</w:t>
      </w:r>
      <w:r w:rsidR="00D86E37" w:rsidRPr="00D920F0">
        <w:rPr>
          <w:rFonts w:ascii="Arial" w:hAnsi="Arial" w:cs="Arial"/>
          <w:iCs/>
        </w:rPr>
        <w:t xml:space="preserve"> and </w:t>
      </w:r>
      <w:r w:rsidR="00D86D62">
        <w:rPr>
          <w:rFonts w:ascii="Arial" w:hAnsi="Arial" w:cs="Arial"/>
          <w:iCs/>
        </w:rPr>
        <w:t>doesn’t</w:t>
      </w:r>
      <w:r w:rsidR="00D86E37" w:rsidRPr="00D920F0">
        <w:rPr>
          <w:rFonts w:ascii="Arial" w:hAnsi="Arial" w:cs="Arial"/>
          <w:iCs/>
        </w:rPr>
        <w:t xml:space="preserve"> require </w:t>
      </w:r>
      <w:r w:rsidRPr="00D920F0">
        <w:rPr>
          <w:rFonts w:ascii="Arial" w:hAnsi="Arial" w:cs="Arial"/>
          <w:iCs/>
        </w:rPr>
        <w:t>modifications based on results</w:t>
      </w:r>
      <w:r w:rsidR="00642EFA" w:rsidRPr="00D920F0">
        <w:rPr>
          <w:rFonts w:ascii="Arial" w:hAnsi="Arial" w:cs="Arial"/>
          <w:iCs/>
        </w:rPr>
        <w:t>?</w:t>
      </w:r>
    </w:p>
    <w:p w14:paraId="03177F6D" w14:textId="27C69977" w:rsidR="00434691" w:rsidRPr="001F1DB8" w:rsidRDefault="00090865" w:rsidP="001F1DB8">
      <w:pPr>
        <w:pStyle w:val="ListParagraph"/>
        <w:numPr>
          <w:ilvl w:val="1"/>
          <w:numId w:val="13"/>
        </w:numPr>
        <w:contextualSpacing w:val="0"/>
        <w:rPr>
          <w:rFonts w:ascii="Arial" w:hAnsi="Arial" w:cs="Arial"/>
          <w:iCs/>
        </w:rPr>
      </w:pPr>
      <w:r w:rsidRPr="00D920F0">
        <w:rPr>
          <w:rFonts w:ascii="Arial" w:hAnsi="Arial" w:cs="Arial"/>
        </w:rPr>
        <w:t>Patient/encounter level testing for each critical data elemen</w:t>
      </w:r>
      <w:r w:rsidR="00642EFA" w:rsidRPr="00D920F0">
        <w:rPr>
          <w:rFonts w:ascii="Arial" w:hAnsi="Arial" w:cs="Arial"/>
        </w:rPr>
        <w:t>t</w:t>
      </w:r>
      <w:r w:rsidR="00A85098" w:rsidRPr="00D920F0">
        <w:rPr>
          <w:rFonts w:ascii="Arial" w:hAnsi="Arial" w:cs="Arial"/>
        </w:rPr>
        <w:t xml:space="preserve"> </w:t>
      </w:r>
      <w:r w:rsidR="00D86D62">
        <w:rPr>
          <w:rFonts w:ascii="Arial" w:hAnsi="Arial" w:cs="Arial"/>
        </w:rPr>
        <w:t>doesn’t</w:t>
      </w:r>
      <w:r w:rsidR="00D27141" w:rsidRPr="00D920F0">
        <w:rPr>
          <w:rFonts w:ascii="Arial" w:hAnsi="Arial" w:cs="Arial"/>
        </w:rPr>
        <w:t xml:space="preserve"> require</w:t>
      </w:r>
      <w:r w:rsidR="00A85098" w:rsidRPr="00D920F0">
        <w:rPr>
          <w:rFonts w:ascii="Arial" w:hAnsi="Arial" w:cs="Arial"/>
        </w:rPr>
        <w:t xml:space="preserve"> changes to the tool base on the results</w:t>
      </w:r>
      <w:r w:rsidR="00642EFA" w:rsidRPr="00D920F0">
        <w:rPr>
          <w:rFonts w:ascii="Arial" w:hAnsi="Arial" w:cs="Arial"/>
        </w:rPr>
        <w:t>?</w:t>
      </w:r>
      <w:r w:rsidRPr="00D920F0">
        <w:rPr>
          <w:rFonts w:ascii="Arial" w:hAnsi="Arial" w:cs="Arial"/>
        </w:rPr>
        <w:t xml:space="preserve"> </w:t>
      </w:r>
    </w:p>
    <w:p w14:paraId="378020E9" w14:textId="77777777" w:rsidR="00ED5E4C" w:rsidRPr="00FA0F47" w:rsidRDefault="00ED5E4C" w:rsidP="00FA0F47">
      <w:pPr>
        <w:pStyle w:val="Heading2"/>
        <w:numPr>
          <w:ilvl w:val="0"/>
          <w:numId w:val="16"/>
        </w:numPr>
        <w:rPr>
          <w:rFonts w:ascii="Arial" w:hAnsi="Arial" w:cs="Arial"/>
          <w:b/>
          <w:bCs/>
          <w:sz w:val="22"/>
          <w:szCs w:val="22"/>
        </w:rPr>
      </w:pPr>
      <w:r w:rsidRPr="00FA0F47">
        <w:rPr>
          <w:rFonts w:ascii="Arial" w:hAnsi="Arial" w:cs="Arial"/>
          <w:b/>
          <w:bCs/>
          <w:color w:val="auto"/>
          <w:sz w:val="22"/>
          <w:szCs w:val="22"/>
        </w:rPr>
        <w:t>Endorsement</w:t>
      </w:r>
    </w:p>
    <w:p w14:paraId="497B59D9" w14:textId="085921D9" w:rsidR="00ED5E4C" w:rsidRPr="003811D9" w:rsidRDefault="00ED5E4C" w:rsidP="00ED5E4C">
      <w:pPr>
        <w:pStyle w:val="ListParagraph"/>
        <w:numPr>
          <w:ilvl w:val="0"/>
          <w:numId w:val="5"/>
        </w:numPr>
        <w:contextualSpacing w:val="0"/>
        <w:rPr>
          <w:rFonts w:ascii="Arial" w:hAnsi="Arial" w:cs="Arial"/>
          <w:iCs/>
        </w:rPr>
      </w:pPr>
      <w:r w:rsidRPr="003811D9">
        <w:rPr>
          <w:rFonts w:ascii="Arial" w:hAnsi="Arial" w:cs="Arial"/>
          <w:iCs/>
        </w:rPr>
        <w:t>Provide</w:t>
      </w:r>
      <w:r w:rsidR="00E6558C" w:rsidRPr="003811D9">
        <w:rPr>
          <w:rFonts w:ascii="Arial" w:hAnsi="Arial" w:cs="Arial"/>
          <w:iCs/>
        </w:rPr>
        <w:t xml:space="preserve"> the</w:t>
      </w:r>
      <w:r w:rsidRPr="003811D9">
        <w:rPr>
          <w:rFonts w:ascii="Arial" w:hAnsi="Arial" w:cs="Arial"/>
          <w:iCs/>
        </w:rPr>
        <w:t xml:space="preserve"> </w:t>
      </w:r>
      <w:r w:rsidR="007E69C1">
        <w:rPr>
          <w:rFonts w:ascii="Arial" w:hAnsi="Arial" w:cs="Arial"/>
          <w:iCs/>
        </w:rPr>
        <w:t xml:space="preserve">Consensus-Based Entity </w:t>
      </w:r>
      <w:r w:rsidR="000E03D9">
        <w:rPr>
          <w:rFonts w:ascii="Arial" w:hAnsi="Arial" w:cs="Arial"/>
          <w:iCs/>
        </w:rPr>
        <w:t xml:space="preserve">(CBE) </w:t>
      </w:r>
      <w:r w:rsidR="000E0DC9" w:rsidRPr="00053C04">
        <w:rPr>
          <w:rFonts w:ascii="Arial" w:hAnsi="Arial" w:cs="Arial"/>
        </w:rPr>
        <w:t xml:space="preserve">(i.e., </w:t>
      </w:r>
      <w:r w:rsidR="000E0DC9">
        <w:rPr>
          <w:rFonts w:ascii="Arial" w:hAnsi="Arial" w:cs="Arial"/>
        </w:rPr>
        <w:t>Partnership for Quality Measures (</w:t>
      </w:r>
      <w:r w:rsidR="000E0DC9" w:rsidRPr="00053C04">
        <w:rPr>
          <w:rFonts w:ascii="Arial" w:hAnsi="Arial" w:cs="Arial"/>
        </w:rPr>
        <w:t xml:space="preserve">PQM)) </w:t>
      </w:r>
      <w:r w:rsidRPr="003811D9">
        <w:rPr>
          <w:rFonts w:ascii="Arial" w:hAnsi="Arial" w:cs="Arial"/>
          <w:iCs/>
        </w:rPr>
        <w:t xml:space="preserve">endorsement status (and </w:t>
      </w:r>
      <w:r w:rsidR="00E917E1">
        <w:rPr>
          <w:rFonts w:ascii="Arial" w:hAnsi="Arial" w:cs="Arial"/>
          <w:iCs/>
        </w:rPr>
        <w:t>CBE</w:t>
      </w:r>
      <w:r w:rsidR="00CB45B2">
        <w:rPr>
          <w:rFonts w:ascii="Arial" w:hAnsi="Arial" w:cs="Arial"/>
          <w:iCs/>
        </w:rPr>
        <w:t xml:space="preserve"> ID</w:t>
      </w:r>
      <w:r w:rsidRPr="003811D9">
        <w:rPr>
          <w:rFonts w:ascii="Arial" w:hAnsi="Arial" w:cs="Arial"/>
          <w:iCs/>
        </w:rPr>
        <w:t>) and/or other endorsing body</w:t>
      </w:r>
      <w:r w:rsidR="000E0DC9">
        <w:rPr>
          <w:rFonts w:ascii="Arial" w:hAnsi="Arial" w:cs="Arial"/>
          <w:iCs/>
        </w:rPr>
        <w:t xml:space="preserve">. </w:t>
      </w:r>
      <w:r w:rsidRPr="003811D9">
        <w:rPr>
          <w:rFonts w:ascii="Arial" w:hAnsi="Arial" w:cs="Arial"/>
          <w:iCs/>
        </w:rPr>
        <w:t xml:space="preserve">If </w:t>
      </w:r>
      <w:r w:rsidR="00DE4ABB">
        <w:rPr>
          <w:rFonts w:ascii="Arial" w:hAnsi="Arial" w:cs="Arial"/>
          <w:iCs/>
        </w:rPr>
        <w:t xml:space="preserve">the </w:t>
      </w:r>
      <w:r w:rsidRPr="003811D9">
        <w:rPr>
          <w:rFonts w:ascii="Arial" w:hAnsi="Arial" w:cs="Arial"/>
          <w:iCs/>
        </w:rPr>
        <w:t>measure is only endorsed for paper records, please note endorsement for only the data source being submitted</w:t>
      </w:r>
      <w:r w:rsidR="00DE4ABB">
        <w:rPr>
          <w:rFonts w:ascii="Arial" w:hAnsi="Arial" w:cs="Arial"/>
          <w:iCs/>
        </w:rPr>
        <w:t>.</w:t>
      </w:r>
      <w:r w:rsidR="007D625A">
        <w:rPr>
          <w:rFonts w:ascii="Arial" w:hAnsi="Arial" w:cs="Arial"/>
          <w:iCs/>
        </w:rPr>
        <w:t xml:space="preserve"> </w:t>
      </w:r>
      <w:r w:rsidR="007D625A" w:rsidRPr="00FA0F47">
        <w:rPr>
          <w:rFonts w:ascii="Arial" w:hAnsi="Arial" w:cs="Arial"/>
          <w:iCs/>
          <w:color w:val="388600"/>
        </w:rPr>
        <w:t>Not endorsed. Will submit for endorsement in next available cycle.</w:t>
      </w:r>
    </w:p>
    <w:p w14:paraId="1C32A417" w14:textId="77777777" w:rsidR="00ED5E4C" w:rsidRPr="00FA0F47" w:rsidRDefault="00ED5E4C" w:rsidP="00FA0F47">
      <w:pPr>
        <w:pStyle w:val="Heading2"/>
        <w:numPr>
          <w:ilvl w:val="0"/>
          <w:numId w:val="16"/>
        </w:numPr>
        <w:rPr>
          <w:rFonts w:ascii="Arial" w:hAnsi="Arial" w:cs="Arial"/>
          <w:b/>
          <w:bCs/>
          <w:color w:val="auto"/>
          <w:sz w:val="22"/>
          <w:szCs w:val="22"/>
        </w:rPr>
      </w:pPr>
      <w:r w:rsidRPr="00FA0F47">
        <w:rPr>
          <w:rFonts w:ascii="Arial" w:hAnsi="Arial" w:cs="Arial"/>
          <w:b/>
          <w:bCs/>
          <w:color w:val="auto"/>
          <w:sz w:val="22"/>
          <w:szCs w:val="22"/>
        </w:rPr>
        <w:t>Summary</w:t>
      </w:r>
    </w:p>
    <w:p w14:paraId="5DCDBA0E" w14:textId="46098178" w:rsidR="00ED5E4C" w:rsidRPr="003811D9" w:rsidRDefault="00ED5E4C" w:rsidP="78582C71">
      <w:pPr>
        <w:pStyle w:val="ListParagraph"/>
        <w:numPr>
          <w:ilvl w:val="0"/>
          <w:numId w:val="4"/>
        </w:numPr>
        <w:rPr>
          <w:rFonts w:ascii="Arial" w:hAnsi="Arial" w:cs="Arial"/>
        </w:rPr>
      </w:pPr>
      <w:r w:rsidRPr="78582C71">
        <w:rPr>
          <w:rFonts w:ascii="Arial" w:hAnsi="Arial" w:cs="Arial"/>
        </w:rPr>
        <w:t>Alignment with CMS Meaningful Measures Initiative or MACRA (</w:t>
      </w:r>
      <w:r w:rsidR="008454C5" w:rsidRPr="78582C71">
        <w:rPr>
          <w:rFonts w:ascii="Arial" w:hAnsi="Arial" w:cs="Arial"/>
        </w:rPr>
        <w:t>i</w:t>
      </w:r>
      <w:r w:rsidRPr="78582C71">
        <w:rPr>
          <w:rFonts w:ascii="Arial" w:hAnsi="Arial" w:cs="Arial"/>
        </w:rPr>
        <w:t>f applicable)</w:t>
      </w:r>
      <w:r w:rsidR="001F0309" w:rsidRPr="78582C71">
        <w:rPr>
          <w:rFonts w:ascii="Arial" w:hAnsi="Arial" w:cs="Arial"/>
        </w:rPr>
        <w:t>.</w:t>
      </w:r>
      <w:r w:rsidR="007D625A">
        <w:rPr>
          <w:rFonts w:ascii="Arial" w:hAnsi="Arial" w:cs="Arial"/>
        </w:rPr>
        <w:t xml:space="preserve"> </w:t>
      </w:r>
      <w:r w:rsidR="007D625A" w:rsidRPr="00FA0F47">
        <w:rPr>
          <w:rFonts w:ascii="Arial" w:hAnsi="Arial" w:cs="Arial"/>
          <w:color w:val="388600"/>
        </w:rPr>
        <w:t>Chronic conditions</w:t>
      </w:r>
    </w:p>
    <w:p w14:paraId="386791AA" w14:textId="4010CF90" w:rsidR="00ED5E4C" w:rsidRDefault="00E3420C" w:rsidP="00ED5E4C">
      <w:pPr>
        <w:pStyle w:val="ListParagraph"/>
        <w:numPr>
          <w:ilvl w:val="0"/>
          <w:numId w:val="4"/>
        </w:numPr>
        <w:rPr>
          <w:rFonts w:ascii="Arial" w:hAnsi="Arial" w:cs="Arial"/>
          <w:iCs/>
        </w:rPr>
      </w:pPr>
      <w:r>
        <w:rPr>
          <w:rFonts w:ascii="Arial" w:hAnsi="Arial" w:cs="Arial"/>
          <w:iCs/>
        </w:rPr>
        <w:t>Relev</w:t>
      </w:r>
      <w:r w:rsidR="00ED5E4C" w:rsidRPr="003811D9">
        <w:rPr>
          <w:rFonts w:ascii="Arial" w:hAnsi="Arial" w:cs="Arial"/>
          <w:iCs/>
        </w:rPr>
        <w:t>ance to MIPS or other CMS programs</w:t>
      </w:r>
      <w:r w:rsidR="001F0309" w:rsidRPr="003811D9">
        <w:rPr>
          <w:rFonts w:ascii="Arial" w:hAnsi="Arial" w:cs="Arial"/>
          <w:iCs/>
        </w:rPr>
        <w:t>.</w:t>
      </w:r>
    </w:p>
    <w:p w14:paraId="482C6ECF" w14:textId="6EAB8682" w:rsidR="007D625A" w:rsidRPr="00FA0F47" w:rsidRDefault="007D625A" w:rsidP="007D625A">
      <w:pPr>
        <w:pStyle w:val="ListParagraph"/>
        <w:ind w:left="1440"/>
        <w:rPr>
          <w:rFonts w:ascii="Arial" w:hAnsi="Arial" w:cs="Arial"/>
          <w:iCs/>
          <w:color w:val="388600"/>
        </w:rPr>
      </w:pPr>
      <w:r w:rsidRPr="00FA0F47">
        <w:rPr>
          <w:rFonts w:ascii="Arial" w:hAnsi="Arial" w:cs="Arial"/>
          <w:iCs/>
          <w:color w:val="388600"/>
        </w:rPr>
        <w:t xml:space="preserve">This measure is currently being used in the American Academy of Neurology’s Axon Registry. It has been approved by CMS for use since </w:t>
      </w:r>
      <w:r w:rsidR="00F105FE" w:rsidRPr="00FA0F47">
        <w:rPr>
          <w:rFonts w:ascii="Arial" w:hAnsi="Arial" w:cs="Arial"/>
          <w:iCs/>
          <w:color w:val="388600"/>
        </w:rPr>
        <w:t>2017</w:t>
      </w:r>
      <w:r w:rsidRPr="00FA0F47">
        <w:rPr>
          <w:rFonts w:ascii="Arial" w:hAnsi="Arial" w:cs="Arial"/>
          <w:iCs/>
          <w:color w:val="388600"/>
        </w:rPr>
        <w:t xml:space="preserve"> as AAN </w:t>
      </w:r>
      <w:r w:rsidR="00F105FE" w:rsidRPr="00FA0F47">
        <w:rPr>
          <w:rFonts w:ascii="Arial" w:hAnsi="Arial" w:cs="Arial"/>
          <w:iCs/>
          <w:color w:val="388600"/>
        </w:rPr>
        <w:t>9</w:t>
      </w:r>
      <w:r w:rsidRPr="00FA0F47">
        <w:rPr>
          <w:rFonts w:ascii="Arial" w:hAnsi="Arial" w:cs="Arial"/>
          <w:iCs/>
          <w:color w:val="388600"/>
        </w:rPr>
        <w:t>. The AAN’s QCDR is shutting down operations as of June 1, 2024. The AAN is seeking to submit this measure through the MUC process so neurologists and other clinicians may maintain access to neurology-specific measures.</w:t>
      </w:r>
    </w:p>
    <w:p w14:paraId="13CD0E03" w14:textId="54875509" w:rsidR="007D625A" w:rsidRPr="00FA0F47" w:rsidRDefault="007D625A" w:rsidP="007D625A">
      <w:pPr>
        <w:pStyle w:val="ListParagraph"/>
        <w:ind w:left="1440"/>
        <w:rPr>
          <w:rFonts w:ascii="Arial" w:hAnsi="Arial" w:cs="Arial"/>
          <w:iCs/>
          <w:color w:val="388600"/>
        </w:rPr>
      </w:pPr>
      <w:r w:rsidRPr="00FA0F47">
        <w:rPr>
          <w:rFonts w:ascii="Arial" w:hAnsi="Arial" w:cs="Arial"/>
          <w:iCs/>
          <w:color w:val="388600"/>
        </w:rPr>
        <w:t xml:space="preserve">Additionally, this measure is currently being used in MIPS MVP: </w:t>
      </w:r>
      <w:r w:rsidR="000A3804" w:rsidRPr="00FA0F47">
        <w:rPr>
          <w:rFonts w:ascii="Arial" w:hAnsi="Arial" w:cs="Arial"/>
          <w:iCs/>
          <w:color w:val="388600"/>
        </w:rPr>
        <w:t xml:space="preserve">Supportive Care for </w:t>
      </w:r>
      <w:r w:rsidRPr="00FA0F47">
        <w:rPr>
          <w:rFonts w:ascii="Arial" w:hAnsi="Arial" w:cs="Arial"/>
          <w:iCs/>
          <w:color w:val="388600"/>
        </w:rPr>
        <w:t>Neurodegenerative Conditions. This measure cannot be used in the MVP after the Axon Registry shuts down. AAN is submitting this measure through the MUC process to maintain continuity in reporting options.</w:t>
      </w:r>
    </w:p>
    <w:p w14:paraId="4A489122" w14:textId="77777777" w:rsidR="007D625A" w:rsidRPr="00FA0F47" w:rsidRDefault="007D625A" w:rsidP="007D625A">
      <w:pPr>
        <w:pStyle w:val="ListParagraph"/>
        <w:ind w:left="1440"/>
        <w:rPr>
          <w:rFonts w:ascii="Arial" w:hAnsi="Arial" w:cs="Arial"/>
          <w:iCs/>
          <w:color w:val="388600"/>
        </w:rPr>
      </w:pPr>
    </w:p>
    <w:p w14:paraId="784BF3C8" w14:textId="0E55530E" w:rsidR="00ED5E4C" w:rsidRDefault="00ED5E4C" w:rsidP="00ED5E4C">
      <w:pPr>
        <w:pStyle w:val="ListParagraph"/>
        <w:numPr>
          <w:ilvl w:val="0"/>
          <w:numId w:val="4"/>
        </w:numPr>
        <w:rPr>
          <w:rFonts w:ascii="Arial" w:hAnsi="Arial" w:cs="Arial"/>
          <w:iCs/>
        </w:rPr>
      </w:pPr>
      <w:r w:rsidRPr="003811D9">
        <w:rPr>
          <w:rFonts w:ascii="Arial" w:hAnsi="Arial" w:cs="Arial"/>
          <w:iCs/>
        </w:rPr>
        <w:t>Rationale: Use of measure for inclusion in program (specialty society, regional collaborative, other)</w:t>
      </w:r>
      <w:r w:rsidR="001F0309" w:rsidRPr="003811D9">
        <w:rPr>
          <w:rFonts w:ascii="Arial" w:hAnsi="Arial" w:cs="Arial"/>
          <w:iCs/>
        </w:rPr>
        <w:t>.</w:t>
      </w:r>
    </w:p>
    <w:p w14:paraId="1F8C5C84" w14:textId="51ADB6AD" w:rsidR="007D625A" w:rsidRPr="00FA0F47" w:rsidRDefault="007D625A" w:rsidP="007D625A">
      <w:pPr>
        <w:pStyle w:val="ListParagraph"/>
        <w:ind w:left="1440"/>
        <w:rPr>
          <w:rFonts w:ascii="Arial" w:hAnsi="Arial" w:cs="Arial"/>
          <w:iCs/>
          <w:color w:val="388600"/>
        </w:rPr>
      </w:pPr>
      <w:r w:rsidRPr="00FA0F47">
        <w:rPr>
          <w:rFonts w:ascii="Arial" w:hAnsi="Arial" w:cs="Arial"/>
          <w:iCs/>
          <w:color w:val="388600"/>
        </w:rPr>
        <w:t xml:space="preserve">This measure is currently being used in the American Academy of Neurology’s Axon Registry. It has been approved by CMS for use since </w:t>
      </w:r>
      <w:r w:rsidR="00F105FE" w:rsidRPr="00FA0F47">
        <w:rPr>
          <w:rFonts w:ascii="Arial" w:hAnsi="Arial" w:cs="Arial"/>
          <w:iCs/>
          <w:color w:val="388600"/>
        </w:rPr>
        <w:t>2017</w:t>
      </w:r>
      <w:r w:rsidRPr="00FA0F47">
        <w:rPr>
          <w:rFonts w:ascii="Arial" w:hAnsi="Arial" w:cs="Arial"/>
          <w:iCs/>
          <w:color w:val="388600"/>
        </w:rPr>
        <w:t xml:space="preserve"> as AAN</w:t>
      </w:r>
      <w:r w:rsidR="00F105FE" w:rsidRPr="00FA0F47">
        <w:rPr>
          <w:rFonts w:ascii="Arial" w:hAnsi="Arial" w:cs="Arial"/>
          <w:iCs/>
          <w:color w:val="388600"/>
        </w:rPr>
        <w:t xml:space="preserve"> 9</w:t>
      </w:r>
      <w:r w:rsidRPr="00FA0F47">
        <w:rPr>
          <w:rFonts w:ascii="Arial" w:hAnsi="Arial" w:cs="Arial"/>
          <w:iCs/>
          <w:color w:val="388600"/>
        </w:rPr>
        <w:t>. The AAN’s QCDR is shutting down operations as of June 1, 2024. The AAN is seeking to submit this measure through the MUC process so neurologists and other clinicians may maintain access to neurology-specific measures.</w:t>
      </w:r>
    </w:p>
    <w:p w14:paraId="14D4355F" w14:textId="7A6007A4" w:rsidR="00ED5E4C" w:rsidRPr="003811D9" w:rsidRDefault="00ED5E4C" w:rsidP="00ED5E4C">
      <w:pPr>
        <w:pStyle w:val="ListParagraph"/>
        <w:numPr>
          <w:ilvl w:val="0"/>
          <w:numId w:val="4"/>
        </w:numPr>
        <w:rPr>
          <w:rFonts w:ascii="Arial" w:hAnsi="Arial" w:cs="Arial"/>
          <w:iCs/>
        </w:rPr>
      </w:pPr>
      <w:r w:rsidRPr="003811D9">
        <w:rPr>
          <w:rFonts w:ascii="Arial" w:hAnsi="Arial" w:cs="Arial"/>
          <w:iCs/>
        </w:rPr>
        <w:t>Public reporting (if applicable)</w:t>
      </w:r>
      <w:r w:rsidR="001F0309" w:rsidRPr="003811D9">
        <w:rPr>
          <w:rFonts w:ascii="Arial" w:hAnsi="Arial" w:cs="Arial"/>
          <w:iCs/>
        </w:rPr>
        <w:t>.</w:t>
      </w:r>
    </w:p>
    <w:p w14:paraId="2C103EC7" w14:textId="3FCBC42C" w:rsidR="00ED5E4C" w:rsidRPr="00A708D6" w:rsidRDefault="00ED5E4C" w:rsidP="00ED5E4C">
      <w:pPr>
        <w:pStyle w:val="ListParagraph"/>
        <w:numPr>
          <w:ilvl w:val="0"/>
          <w:numId w:val="4"/>
        </w:numPr>
        <w:rPr>
          <w:rFonts w:ascii="Arial" w:hAnsi="Arial" w:cs="Arial"/>
          <w:b/>
          <w:iCs/>
        </w:rPr>
      </w:pPr>
      <w:r w:rsidRPr="003811D9">
        <w:rPr>
          <w:rFonts w:ascii="Arial" w:hAnsi="Arial" w:cs="Arial"/>
          <w:iCs/>
        </w:rPr>
        <w:t xml:space="preserve">Preferable relevant </w:t>
      </w:r>
      <w:r w:rsidR="00165747" w:rsidRPr="003811D9">
        <w:rPr>
          <w:rFonts w:ascii="Arial" w:hAnsi="Arial" w:cs="Arial"/>
          <w:iCs/>
        </w:rPr>
        <w:t>p</w:t>
      </w:r>
      <w:r w:rsidRPr="003811D9">
        <w:rPr>
          <w:rFonts w:ascii="Arial" w:hAnsi="Arial" w:cs="Arial"/>
          <w:iCs/>
        </w:rPr>
        <w:t>eer-</w:t>
      </w:r>
      <w:r w:rsidR="00165747" w:rsidRPr="003811D9">
        <w:rPr>
          <w:rFonts w:ascii="Arial" w:hAnsi="Arial" w:cs="Arial"/>
          <w:iCs/>
        </w:rPr>
        <w:t>r</w:t>
      </w:r>
      <w:r w:rsidRPr="003811D9">
        <w:rPr>
          <w:rFonts w:ascii="Arial" w:hAnsi="Arial" w:cs="Arial"/>
          <w:iCs/>
        </w:rPr>
        <w:t xml:space="preserve">eviewed </w:t>
      </w:r>
      <w:r w:rsidR="00165747" w:rsidRPr="003811D9">
        <w:rPr>
          <w:rFonts w:ascii="Arial" w:hAnsi="Arial" w:cs="Arial"/>
          <w:iCs/>
        </w:rPr>
        <w:t>j</w:t>
      </w:r>
      <w:r w:rsidRPr="003811D9">
        <w:rPr>
          <w:rFonts w:ascii="Arial" w:hAnsi="Arial" w:cs="Arial"/>
          <w:iCs/>
        </w:rPr>
        <w:t>ournal for publication</w:t>
      </w:r>
      <w:r w:rsidR="001F0309" w:rsidRPr="003811D9">
        <w:rPr>
          <w:rFonts w:ascii="Arial" w:hAnsi="Arial" w:cs="Arial"/>
          <w:iCs/>
        </w:rPr>
        <w:t>.</w:t>
      </w:r>
      <w:r w:rsidR="007D625A">
        <w:rPr>
          <w:rFonts w:ascii="Arial" w:hAnsi="Arial" w:cs="Arial"/>
          <w:iCs/>
        </w:rPr>
        <w:t xml:space="preserve"> </w:t>
      </w:r>
      <w:r w:rsidR="007D625A" w:rsidRPr="00FA0F47">
        <w:rPr>
          <w:rFonts w:ascii="Arial" w:hAnsi="Arial" w:cs="Arial"/>
          <w:i/>
          <w:color w:val="388600"/>
        </w:rPr>
        <w:t>Neurology</w:t>
      </w:r>
    </w:p>
    <w:p w14:paraId="61BE9184" w14:textId="64DC0AD9" w:rsidR="00EE4627" w:rsidRPr="00BB1825" w:rsidRDefault="00ED5E4C" w:rsidP="00053C04">
      <w:pPr>
        <w:pStyle w:val="ListParagraph"/>
        <w:numPr>
          <w:ilvl w:val="0"/>
          <w:numId w:val="4"/>
        </w:numPr>
        <w:rPr>
          <w:rFonts w:ascii="Arial" w:hAnsi="Arial" w:cs="Arial"/>
        </w:rPr>
      </w:pPr>
      <w:r w:rsidRPr="003811D9">
        <w:rPr>
          <w:rFonts w:ascii="Arial" w:hAnsi="Arial" w:cs="Arial"/>
          <w:iCs/>
        </w:rPr>
        <w:t xml:space="preserve">Rationale as to how the measure correlates to existing cost measures and improvement activities, as applicable and feasible. </w:t>
      </w:r>
      <w:bookmarkEnd w:id="0"/>
    </w:p>
    <w:p w14:paraId="2AD84E00" w14:textId="77777777" w:rsidR="00BB1825" w:rsidRDefault="00BB1825" w:rsidP="00BB1825">
      <w:pPr>
        <w:pStyle w:val="paragraph"/>
        <w:spacing w:before="0" w:beforeAutospacing="0" w:after="0" w:afterAutospacing="0"/>
        <w:ind w:left="1440"/>
        <w:textAlignment w:val="baseline"/>
        <w:rPr>
          <w:rFonts w:ascii="Arial" w:hAnsi="Arial" w:cs="Arial"/>
          <w:sz w:val="22"/>
          <w:szCs w:val="22"/>
        </w:rPr>
      </w:pPr>
      <w:r w:rsidRPr="00FA0F47">
        <w:rPr>
          <w:rStyle w:val="normaltextrun"/>
          <w:rFonts w:ascii="Arial" w:hAnsi="Arial" w:cs="Arial"/>
          <w:color w:val="388600"/>
          <w:sz w:val="22"/>
          <w:szCs w:val="22"/>
        </w:rPr>
        <w:t>Neurology currently has one cost measure for stroke inpatient care. There are no relevant cost measures.</w:t>
      </w:r>
      <w:r w:rsidRPr="00FA0F47">
        <w:rPr>
          <w:rStyle w:val="eop"/>
          <w:rFonts w:ascii="Arial" w:hAnsi="Arial" w:cs="Arial"/>
          <w:color w:val="388600"/>
          <w:sz w:val="22"/>
          <w:szCs w:val="22"/>
        </w:rPr>
        <w:t> </w:t>
      </w:r>
    </w:p>
    <w:p w14:paraId="47352234" w14:textId="77777777" w:rsidR="00BB1825" w:rsidRDefault="00BB1825" w:rsidP="00BB1825">
      <w:pPr>
        <w:pStyle w:val="paragraph"/>
        <w:spacing w:before="0" w:beforeAutospacing="0" w:after="0" w:afterAutospacing="0"/>
        <w:ind w:left="1440"/>
        <w:textAlignment w:val="baseline"/>
        <w:rPr>
          <w:rFonts w:ascii="Arial" w:hAnsi="Arial" w:cs="Arial"/>
          <w:sz w:val="22"/>
          <w:szCs w:val="22"/>
        </w:rPr>
      </w:pPr>
      <w:r>
        <w:rPr>
          <w:rStyle w:val="eop"/>
          <w:rFonts w:ascii="Arial" w:hAnsi="Arial" w:cs="Arial"/>
          <w:color w:val="00B050"/>
          <w:sz w:val="22"/>
          <w:szCs w:val="22"/>
        </w:rPr>
        <w:t> </w:t>
      </w:r>
    </w:p>
    <w:p w14:paraId="5C6DF450" w14:textId="77777777" w:rsidR="00BB1825" w:rsidRDefault="00BB1825" w:rsidP="00BB1825">
      <w:pPr>
        <w:pStyle w:val="paragraph"/>
        <w:spacing w:before="0" w:beforeAutospacing="0" w:after="0" w:afterAutospacing="0"/>
        <w:ind w:left="1440"/>
        <w:textAlignment w:val="baseline"/>
        <w:rPr>
          <w:rFonts w:ascii="Arial" w:hAnsi="Arial" w:cs="Arial"/>
          <w:sz w:val="22"/>
          <w:szCs w:val="22"/>
        </w:rPr>
      </w:pPr>
      <w:r w:rsidRPr="00FA0F47">
        <w:rPr>
          <w:rStyle w:val="normaltextrun"/>
          <w:rFonts w:ascii="Arial" w:hAnsi="Arial" w:cs="Arial"/>
          <w:color w:val="388600"/>
          <w:sz w:val="22"/>
          <w:szCs w:val="22"/>
        </w:rPr>
        <w:t>Relevant Improvement Activities include:</w:t>
      </w:r>
      <w:r w:rsidRPr="00FA0F47">
        <w:rPr>
          <w:rStyle w:val="eop"/>
          <w:rFonts w:ascii="Arial" w:hAnsi="Arial" w:cs="Arial"/>
          <w:color w:val="388600"/>
          <w:sz w:val="22"/>
          <w:szCs w:val="22"/>
        </w:rPr>
        <w:t> </w:t>
      </w:r>
    </w:p>
    <w:p w14:paraId="01428F96" w14:textId="77777777" w:rsidR="00BB1825" w:rsidRDefault="00BB1825" w:rsidP="00BB1825">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IA_PM_13: Chronic care and preventative care management for empaneled patients</w:t>
      </w:r>
      <w:r w:rsidRPr="00FA0F47">
        <w:rPr>
          <w:rStyle w:val="eop"/>
          <w:rFonts w:ascii="Arial" w:hAnsi="Arial" w:cs="Arial"/>
          <w:color w:val="388600"/>
          <w:sz w:val="22"/>
          <w:szCs w:val="22"/>
        </w:rPr>
        <w:t> </w:t>
      </w:r>
    </w:p>
    <w:p w14:paraId="0106C113" w14:textId="77777777" w:rsidR="00BB1825" w:rsidRDefault="00BB1825" w:rsidP="00BB1825">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IA_PM_5: Engagement of community for health status improvement</w:t>
      </w:r>
      <w:r w:rsidRPr="00FA0F47">
        <w:rPr>
          <w:rStyle w:val="eop"/>
          <w:rFonts w:ascii="Arial" w:hAnsi="Arial" w:cs="Arial"/>
          <w:color w:val="388600"/>
          <w:sz w:val="22"/>
          <w:szCs w:val="22"/>
        </w:rPr>
        <w:t> </w:t>
      </w:r>
    </w:p>
    <w:p w14:paraId="7B299DB0" w14:textId="77777777" w:rsidR="00BB1825" w:rsidRDefault="00BB1825" w:rsidP="00BB1825">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IA_BE_15: Engagement of patients, family, and caregivers in developing a plan of care</w:t>
      </w:r>
      <w:r w:rsidRPr="00FA0F47">
        <w:rPr>
          <w:rStyle w:val="eop"/>
          <w:rFonts w:ascii="Arial" w:hAnsi="Arial" w:cs="Arial"/>
          <w:color w:val="388600"/>
          <w:sz w:val="22"/>
          <w:szCs w:val="22"/>
        </w:rPr>
        <w:t> </w:t>
      </w:r>
    </w:p>
    <w:p w14:paraId="06935417" w14:textId="77777777" w:rsidR="00BB1825" w:rsidRDefault="00BB1825" w:rsidP="00BB1825">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 xml:space="preserve">IA_BE_22: Improved practices that engage </w:t>
      </w:r>
      <w:proofErr w:type="gramStart"/>
      <w:r w:rsidRPr="00FA0F47">
        <w:rPr>
          <w:rStyle w:val="normaltextrun"/>
          <w:rFonts w:ascii="Arial" w:hAnsi="Arial" w:cs="Arial"/>
          <w:color w:val="388600"/>
          <w:sz w:val="22"/>
          <w:szCs w:val="22"/>
        </w:rPr>
        <w:t>patients</w:t>
      </w:r>
      <w:proofErr w:type="gramEnd"/>
      <w:r w:rsidRPr="00FA0F47">
        <w:rPr>
          <w:rStyle w:val="normaltextrun"/>
          <w:rFonts w:ascii="Arial" w:hAnsi="Arial" w:cs="Arial"/>
          <w:color w:val="388600"/>
          <w:sz w:val="22"/>
          <w:szCs w:val="22"/>
        </w:rPr>
        <w:t xml:space="preserve"> pre-visit</w:t>
      </w:r>
      <w:r w:rsidRPr="00FA0F47">
        <w:rPr>
          <w:rStyle w:val="eop"/>
          <w:rFonts w:ascii="Arial" w:hAnsi="Arial" w:cs="Arial"/>
          <w:color w:val="388600"/>
          <w:sz w:val="22"/>
          <w:szCs w:val="22"/>
        </w:rPr>
        <w:t> </w:t>
      </w:r>
    </w:p>
    <w:p w14:paraId="5D0DABA1" w14:textId="77777777" w:rsidR="00BB1825" w:rsidRDefault="00BB1825" w:rsidP="00BB1825">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IA_BE_23: Integration of patient coaching practices between visits</w:t>
      </w:r>
      <w:r w:rsidRPr="00FA0F47">
        <w:rPr>
          <w:rStyle w:val="eop"/>
          <w:rFonts w:ascii="Arial" w:hAnsi="Arial" w:cs="Arial"/>
          <w:color w:val="388600"/>
          <w:sz w:val="22"/>
          <w:szCs w:val="22"/>
        </w:rPr>
        <w:t> </w:t>
      </w:r>
    </w:p>
    <w:p w14:paraId="707E1EF2" w14:textId="77777777" w:rsidR="00BB1825" w:rsidRDefault="00BB1825" w:rsidP="00BB1825">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IA_BE_16: Promote self-management in usual care</w:t>
      </w:r>
      <w:r w:rsidRPr="00FA0F47">
        <w:rPr>
          <w:rStyle w:val="eop"/>
          <w:rFonts w:ascii="Arial" w:hAnsi="Arial" w:cs="Arial"/>
          <w:color w:val="388600"/>
          <w:sz w:val="22"/>
          <w:szCs w:val="22"/>
        </w:rPr>
        <w:t> </w:t>
      </w:r>
    </w:p>
    <w:p w14:paraId="3176137D" w14:textId="77777777" w:rsidR="00BB1825" w:rsidRDefault="00BB1825" w:rsidP="00BB1825">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IA_BE_12: Use evidence-based decision aids to support shared decision-making</w:t>
      </w:r>
      <w:r w:rsidRPr="00FA0F47">
        <w:rPr>
          <w:rStyle w:val="eop"/>
          <w:rFonts w:ascii="Arial" w:hAnsi="Arial" w:cs="Arial"/>
          <w:color w:val="388600"/>
          <w:sz w:val="22"/>
          <w:szCs w:val="22"/>
        </w:rPr>
        <w:t> </w:t>
      </w:r>
    </w:p>
    <w:p w14:paraId="18323968" w14:textId="0C37A28F" w:rsidR="00BB1825" w:rsidRPr="00FA0F47" w:rsidRDefault="00BB1825" w:rsidP="00FA0F47">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FA0F47">
        <w:rPr>
          <w:rStyle w:val="normaltextrun"/>
          <w:rFonts w:ascii="Arial" w:hAnsi="Arial" w:cs="Arial"/>
          <w:color w:val="388600"/>
          <w:sz w:val="22"/>
          <w:szCs w:val="22"/>
        </w:rPr>
        <w:t>IA_BE_1: Use of certified EHR to capture patient reported outcomes</w:t>
      </w:r>
    </w:p>
    <w:sectPr w:rsidR="00BB1825" w:rsidRPr="00FA0F47" w:rsidSect="001379AC">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B2906" w14:textId="77777777" w:rsidR="00C8140D" w:rsidRDefault="00C8140D">
      <w:pPr>
        <w:spacing w:after="0" w:line="240" w:lineRule="auto"/>
      </w:pPr>
      <w:r>
        <w:separator/>
      </w:r>
    </w:p>
  </w:endnote>
  <w:endnote w:type="continuationSeparator" w:id="0">
    <w:p w14:paraId="3A32E1D8" w14:textId="77777777" w:rsidR="00C8140D" w:rsidRDefault="00C8140D">
      <w:pPr>
        <w:spacing w:after="0" w:line="240" w:lineRule="auto"/>
      </w:pPr>
      <w:r>
        <w:continuationSeparator/>
      </w:r>
    </w:p>
  </w:endnote>
  <w:endnote w:type="continuationNotice" w:id="1">
    <w:p w14:paraId="4EBDEDB6" w14:textId="77777777" w:rsidR="00C8140D" w:rsidRDefault="00C81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50FBD" w14:textId="77777777" w:rsidR="00C8140D" w:rsidRDefault="00C8140D">
      <w:pPr>
        <w:spacing w:after="0" w:line="240" w:lineRule="auto"/>
      </w:pPr>
      <w:r>
        <w:separator/>
      </w:r>
    </w:p>
  </w:footnote>
  <w:footnote w:type="continuationSeparator" w:id="0">
    <w:p w14:paraId="487D4804" w14:textId="77777777" w:rsidR="00C8140D" w:rsidRDefault="00C8140D">
      <w:pPr>
        <w:spacing w:after="0" w:line="240" w:lineRule="auto"/>
      </w:pPr>
      <w:r>
        <w:continuationSeparator/>
      </w:r>
    </w:p>
  </w:footnote>
  <w:footnote w:type="continuationNotice" w:id="1">
    <w:p w14:paraId="0E673FDC" w14:textId="77777777" w:rsidR="00C8140D" w:rsidRDefault="00C814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A255A"/>
    <w:multiLevelType w:val="hybridMultilevel"/>
    <w:tmpl w:val="ECA66424"/>
    <w:lvl w:ilvl="0" w:tplc="4F443572">
      <w:start w:val="1"/>
      <w:numFmt w:val="upp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081DE2"/>
    <w:multiLevelType w:val="hybridMultilevel"/>
    <w:tmpl w:val="515A6D8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 w15:restartNumberingAfterBreak="0">
    <w:nsid w:val="1BC22B28"/>
    <w:multiLevelType w:val="multilevel"/>
    <w:tmpl w:val="BBC4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647C61"/>
    <w:multiLevelType w:val="hybridMultilevel"/>
    <w:tmpl w:val="C45221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992DD7"/>
    <w:multiLevelType w:val="hybridMultilevel"/>
    <w:tmpl w:val="12F2265C"/>
    <w:lvl w:ilvl="0" w:tplc="F1F29C12">
      <w:start w:val="1"/>
      <w:numFmt w:val="upperRoman"/>
      <w:lvlText w:val="%1."/>
      <w:lvlJc w:val="right"/>
      <w:pPr>
        <w:ind w:left="720" w:hanging="360"/>
      </w:pPr>
      <w:rPr>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A34699D"/>
    <w:multiLevelType w:val="multilevel"/>
    <w:tmpl w:val="F876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AFC0C4E"/>
    <w:multiLevelType w:val="hybridMultilevel"/>
    <w:tmpl w:val="8FF88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0" w15:restartNumberingAfterBreak="0">
    <w:nsid w:val="7D4B72DB"/>
    <w:multiLevelType w:val="hybridMultilevel"/>
    <w:tmpl w:val="27D46B5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3558054">
    <w:abstractNumId w:val="4"/>
  </w:num>
  <w:num w:numId="2" w16cid:durableId="563374367">
    <w:abstractNumId w:val="15"/>
  </w:num>
  <w:num w:numId="3" w16cid:durableId="1087724512">
    <w:abstractNumId w:val="11"/>
  </w:num>
  <w:num w:numId="4" w16cid:durableId="1903328766">
    <w:abstractNumId w:val="10"/>
  </w:num>
  <w:num w:numId="5" w16cid:durableId="1855028549">
    <w:abstractNumId w:val="13"/>
  </w:num>
  <w:num w:numId="6" w16cid:durableId="2003242591">
    <w:abstractNumId w:val="0"/>
  </w:num>
  <w:num w:numId="7" w16cid:durableId="2067995048">
    <w:abstractNumId w:val="17"/>
  </w:num>
  <w:num w:numId="8" w16cid:durableId="1057706182">
    <w:abstractNumId w:val="18"/>
  </w:num>
  <w:num w:numId="9" w16cid:durableId="1672681407">
    <w:abstractNumId w:val="14"/>
  </w:num>
  <w:num w:numId="10" w16cid:durableId="62534073">
    <w:abstractNumId w:val="7"/>
  </w:num>
  <w:num w:numId="11" w16cid:durableId="1182628175">
    <w:abstractNumId w:val="5"/>
  </w:num>
  <w:num w:numId="12" w16cid:durableId="529803700">
    <w:abstractNumId w:val="3"/>
  </w:num>
  <w:num w:numId="13" w16cid:durableId="497113483">
    <w:abstractNumId w:val="19"/>
  </w:num>
  <w:num w:numId="14" w16cid:durableId="1630667449">
    <w:abstractNumId w:val="12"/>
  </w:num>
  <w:num w:numId="15" w16cid:durableId="1884706530">
    <w:abstractNumId w:val="6"/>
  </w:num>
  <w:num w:numId="16" w16cid:durableId="1485388060">
    <w:abstractNumId w:val="9"/>
  </w:num>
  <w:num w:numId="17" w16cid:durableId="566570309">
    <w:abstractNumId w:val="20"/>
  </w:num>
  <w:num w:numId="18" w16cid:durableId="1820488790">
    <w:abstractNumId w:val="16"/>
  </w:num>
  <w:num w:numId="19" w16cid:durableId="974525609">
    <w:abstractNumId w:val="1"/>
  </w:num>
  <w:num w:numId="20" w16cid:durableId="1768116389">
    <w:abstractNumId w:val="2"/>
  </w:num>
  <w:num w:numId="21" w16cid:durableId="3725858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24841"/>
    <w:rsid w:val="000271EB"/>
    <w:rsid w:val="00047133"/>
    <w:rsid w:val="00050031"/>
    <w:rsid w:val="00051D2E"/>
    <w:rsid w:val="00053C04"/>
    <w:rsid w:val="00056AD1"/>
    <w:rsid w:val="00060762"/>
    <w:rsid w:val="00065CCA"/>
    <w:rsid w:val="000836C0"/>
    <w:rsid w:val="00090865"/>
    <w:rsid w:val="000A212D"/>
    <w:rsid w:val="000A3804"/>
    <w:rsid w:val="000AEFA0"/>
    <w:rsid w:val="000C2D23"/>
    <w:rsid w:val="000D0ECA"/>
    <w:rsid w:val="000D4FDF"/>
    <w:rsid w:val="000D560A"/>
    <w:rsid w:val="000D76B5"/>
    <w:rsid w:val="000E03D9"/>
    <w:rsid w:val="000E0DC9"/>
    <w:rsid w:val="000F14ED"/>
    <w:rsid w:val="000F5651"/>
    <w:rsid w:val="00112D25"/>
    <w:rsid w:val="00116400"/>
    <w:rsid w:val="0012611F"/>
    <w:rsid w:val="001314B7"/>
    <w:rsid w:val="001359DA"/>
    <w:rsid w:val="00137259"/>
    <w:rsid w:val="001378A3"/>
    <w:rsid w:val="001379AC"/>
    <w:rsid w:val="00137AB1"/>
    <w:rsid w:val="00144B72"/>
    <w:rsid w:val="00160C61"/>
    <w:rsid w:val="00165747"/>
    <w:rsid w:val="0016710D"/>
    <w:rsid w:val="001742A6"/>
    <w:rsid w:val="001B4031"/>
    <w:rsid w:val="001C6CDB"/>
    <w:rsid w:val="001D353A"/>
    <w:rsid w:val="001F0309"/>
    <w:rsid w:val="001F1DB8"/>
    <w:rsid w:val="001F485D"/>
    <w:rsid w:val="001F5232"/>
    <w:rsid w:val="00216557"/>
    <w:rsid w:val="0024707B"/>
    <w:rsid w:val="002510FD"/>
    <w:rsid w:val="002537A5"/>
    <w:rsid w:val="002620C1"/>
    <w:rsid w:val="00272F8C"/>
    <w:rsid w:val="002902AC"/>
    <w:rsid w:val="002942D9"/>
    <w:rsid w:val="002A0780"/>
    <w:rsid w:val="002A6F41"/>
    <w:rsid w:val="002B55FA"/>
    <w:rsid w:val="002B627F"/>
    <w:rsid w:val="002C5CEC"/>
    <w:rsid w:val="002D0A39"/>
    <w:rsid w:val="00305D5D"/>
    <w:rsid w:val="00326F6D"/>
    <w:rsid w:val="00332C94"/>
    <w:rsid w:val="00343915"/>
    <w:rsid w:val="003453F9"/>
    <w:rsid w:val="00350B15"/>
    <w:rsid w:val="00351944"/>
    <w:rsid w:val="003811D9"/>
    <w:rsid w:val="003826EC"/>
    <w:rsid w:val="003B4B83"/>
    <w:rsid w:val="003C0773"/>
    <w:rsid w:val="003C309F"/>
    <w:rsid w:val="003C67DE"/>
    <w:rsid w:val="003D5D1A"/>
    <w:rsid w:val="003F2CD9"/>
    <w:rsid w:val="0040040F"/>
    <w:rsid w:val="00423998"/>
    <w:rsid w:val="00434691"/>
    <w:rsid w:val="0045501B"/>
    <w:rsid w:val="004613DD"/>
    <w:rsid w:val="00467CC9"/>
    <w:rsid w:val="00470D30"/>
    <w:rsid w:val="00473986"/>
    <w:rsid w:val="00482149"/>
    <w:rsid w:val="0048407F"/>
    <w:rsid w:val="00486C0A"/>
    <w:rsid w:val="00491B8F"/>
    <w:rsid w:val="0049735E"/>
    <w:rsid w:val="004A6064"/>
    <w:rsid w:val="004B0999"/>
    <w:rsid w:val="004C09F1"/>
    <w:rsid w:val="004E1A76"/>
    <w:rsid w:val="004F7588"/>
    <w:rsid w:val="0053447D"/>
    <w:rsid w:val="00534B2E"/>
    <w:rsid w:val="00552A8C"/>
    <w:rsid w:val="00564271"/>
    <w:rsid w:val="00571AE2"/>
    <w:rsid w:val="00595824"/>
    <w:rsid w:val="005E2F4E"/>
    <w:rsid w:val="005E6A28"/>
    <w:rsid w:val="00604A15"/>
    <w:rsid w:val="00604D54"/>
    <w:rsid w:val="00624B8F"/>
    <w:rsid w:val="00632F3D"/>
    <w:rsid w:val="0063717F"/>
    <w:rsid w:val="00642EFA"/>
    <w:rsid w:val="00651B47"/>
    <w:rsid w:val="00652A18"/>
    <w:rsid w:val="00652DCE"/>
    <w:rsid w:val="00654E52"/>
    <w:rsid w:val="006645A3"/>
    <w:rsid w:val="00665ABA"/>
    <w:rsid w:val="006671E9"/>
    <w:rsid w:val="006A00EA"/>
    <w:rsid w:val="006A08CB"/>
    <w:rsid w:val="006A2EBD"/>
    <w:rsid w:val="006A323C"/>
    <w:rsid w:val="006A4124"/>
    <w:rsid w:val="006A7B4E"/>
    <w:rsid w:val="006C4AB2"/>
    <w:rsid w:val="006C6049"/>
    <w:rsid w:val="006E2BAE"/>
    <w:rsid w:val="006E6323"/>
    <w:rsid w:val="0070163C"/>
    <w:rsid w:val="0071543B"/>
    <w:rsid w:val="00722837"/>
    <w:rsid w:val="00731407"/>
    <w:rsid w:val="00775E0A"/>
    <w:rsid w:val="00784BCE"/>
    <w:rsid w:val="007948B4"/>
    <w:rsid w:val="007A4CB7"/>
    <w:rsid w:val="007D625A"/>
    <w:rsid w:val="007D6DFF"/>
    <w:rsid w:val="007E16B6"/>
    <w:rsid w:val="007E69C1"/>
    <w:rsid w:val="008165E6"/>
    <w:rsid w:val="0081726D"/>
    <w:rsid w:val="00822943"/>
    <w:rsid w:val="008454C5"/>
    <w:rsid w:val="008940A6"/>
    <w:rsid w:val="00894D56"/>
    <w:rsid w:val="008A38B4"/>
    <w:rsid w:val="008B0DEA"/>
    <w:rsid w:val="008D028C"/>
    <w:rsid w:val="008D3F3C"/>
    <w:rsid w:val="008D6829"/>
    <w:rsid w:val="008E350F"/>
    <w:rsid w:val="008E66AA"/>
    <w:rsid w:val="008F5551"/>
    <w:rsid w:val="00907F25"/>
    <w:rsid w:val="009210B9"/>
    <w:rsid w:val="00935EA2"/>
    <w:rsid w:val="009436AA"/>
    <w:rsid w:val="009528D6"/>
    <w:rsid w:val="00976BD4"/>
    <w:rsid w:val="009879F9"/>
    <w:rsid w:val="00987B8A"/>
    <w:rsid w:val="009A0386"/>
    <w:rsid w:val="009A61BD"/>
    <w:rsid w:val="009B0753"/>
    <w:rsid w:val="009C78D4"/>
    <w:rsid w:val="009D35FA"/>
    <w:rsid w:val="009E6BA7"/>
    <w:rsid w:val="009E73A4"/>
    <w:rsid w:val="009F34EE"/>
    <w:rsid w:val="009F5C76"/>
    <w:rsid w:val="009F6709"/>
    <w:rsid w:val="00A0170E"/>
    <w:rsid w:val="00A13C6E"/>
    <w:rsid w:val="00A204C0"/>
    <w:rsid w:val="00A208CB"/>
    <w:rsid w:val="00A22963"/>
    <w:rsid w:val="00A24376"/>
    <w:rsid w:val="00A34683"/>
    <w:rsid w:val="00A3539B"/>
    <w:rsid w:val="00A36B27"/>
    <w:rsid w:val="00A3760F"/>
    <w:rsid w:val="00A46F82"/>
    <w:rsid w:val="00A708D6"/>
    <w:rsid w:val="00A768A3"/>
    <w:rsid w:val="00A77C07"/>
    <w:rsid w:val="00A85098"/>
    <w:rsid w:val="00AA2F68"/>
    <w:rsid w:val="00AB13A5"/>
    <w:rsid w:val="00AD1278"/>
    <w:rsid w:val="00AD3462"/>
    <w:rsid w:val="00AD3DBF"/>
    <w:rsid w:val="00AE16EE"/>
    <w:rsid w:val="00B042A6"/>
    <w:rsid w:val="00B112D6"/>
    <w:rsid w:val="00B52F2B"/>
    <w:rsid w:val="00B54BAE"/>
    <w:rsid w:val="00B668EF"/>
    <w:rsid w:val="00B81F14"/>
    <w:rsid w:val="00BA355E"/>
    <w:rsid w:val="00BA3652"/>
    <w:rsid w:val="00BB1825"/>
    <w:rsid w:val="00BC69B9"/>
    <w:rsid w:val="00BC7A62"/>
    <w:rsid w:val="00BD1B7E"/>
    <w:rsid w:val="00BD34FD"/>
    <w:rsid w:val="00BE3795"/>
    <w:rsid w:val="00BF1268"/>
    <w:rsid w:val="00C00243"/>
    <w:rsid w:val="00C05EF9"/>
    <w:rsid w:val="00C16AAF"/>
    <w:rsid w:val="00C20DF3"/>
    <w:rsid w:val="00C448ED"/>
    <w:rsid w:val="00C4710B"/>
    <w:rsid w:val="00C47308"/>
    <w:rsid w:val="00C61DC5"/>
    <w:rsid w:val="00C643B2"/>
    <w:rsid w:val="00C8140D"/>
    <w:rsid w:val="00CB45B2"/>
    <w:rsid w:val="00CC2D9A"/>
    <w:rsid w:val="00CC2F13"/>
    <w:rsid w:val="00CE6DE8"/>
    <w:rsid w:val="00CF61FC"/>
    <w:rsid w:val="00D07A39"/>
    <w:rsid w:val="00D12ACC"/>
    <w:rsid w:val="00D27141"/>
    <w:rsid w:val="00D27768"/>
    <w:rsid w:val="00D30E2D"/>
    <w:rsid w:val="00D50BF8"/>
    <w:rsid w:val="00D5466A"/>
    <w:rsid w:val="00D60F1E"/>
    <w:rsid w:val="00D61594"/>
    <w:rsid w:val="00D63635"/>
    <w:rsid w:val="00D86D62"/>
    <w:rsid w:val="00D86E37"/>
    <w:rsid w:val="00D920F0"/>
    <w:rsid w:val="00DB091A"/>
    <w:rsid w:val="00DB6039"/>
    <w:rsid w:val="00DD1AD4"/>
    <w:rsid w:val="00DE0F9C"/>
    <w:rsid w:val="00DE4ABB"/>
    <w:rsid w:val="00E02E56"/>
    <w:rsid w:val="00E0402A"/>
    <w:rsid w:val="00E3420C"/>
    <w:rsid w:val="00E34CD1"/>
    <w:rsid w:val="00E565BD"/>
    <w:rsid w:val="00E61D38"/>
    <w:rsid w:val="00E6558C"/>
    <w:rsid w:val="00E75042"/>
    <w:rsid w:val="00E77C0E"/>
    <w:rsid w:val="00E917E1"/>
    <w:rsid w:val="00E96051"/>
    <w:rsid w:val="00EA06EB"/>
    <w:rsid w:val="00EA7630"/>
    <w:rsid w:val="00EC3E68"/>
    <w:rsid w:val="00ED5E4C"/>
    <w:rsid w:val="00EE0284"/>
    <w:rsid w:val="00EE1120"/>
    <w:rsid w:val="00EE2172"/>
    <w:rsid w:val="00EE222C"/>
    <w:rsid w:val="00EE44A9"/>
    <w:rsid w:val="00EE4627"/>
    <w:rsid w:val="00EE7772"/>
    <w:rsid w:val="00EF106C"/>
    <w:rsid w:val="00F10277"/>
    <w:rsid w:val="00F105FE"/>
    <w:rsid w:val="00F11F23"/>
    <w:rsid w:val="00F2104E"/>
    <w:rsid w:val="00F23077"/>
    <w:rsid w:val="00F37489"/>
    <w:rsid w:val="00F45364"/>
    <w:rsid w:val="00F6082B"/>
    <w:rsid w:val="00F800E7"/>
    <w:rsid w:val="00F87FB6"/>
    <w:rsid w:val="00FA0F47"/>
    <w:rsid w:val="00FA42B1"/>
    <w:rsid w:val="00FA44E4"/>
    <w:rsid w:val="00FC24D0"/>
    <w:rsid w:val="00FC530E"/>
    <w:rsid w:val="00FD7900"/>
    <w:rsid w:val="00FE08DC"/>
    <w:rsid w:val="0E4CCD3D"/>
    <w:rsid w:val="1BBFB74E"/>
    <w:rsid w:val="211D164F"/>
    <w:rsid w:val="3574F78B"/>
    <w:rsid w:val="3AEC4C68"/>
    <w:rsid w:val="54012B02"/>
    <w:rsid w:val="5E2F1D19"/>
    <w:rsid w:val="634EB130"/>
    <w:rsid w:val="66B65046"/>
    <w:rsid w:val="67A2C46F"/>
    <w:rsid w:val="6F774203"/>
    <w:rsid w:val="75DAD56E"/>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0F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BB18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1825"/>
  </w:style>
  <w:style w:type="character" w:customStyle="1" w:styleId="eop">
    <w:name w:val="eop"/>
    <w:basedOn w:val="DefaultParagraphFont"/>
    <w:rsid w:val="00BB1825"/>
  </w:style>
  <w:style w:type="character" w:customStyle="1" w:styleId="Heading2Char">
    <w:name w:val="Heading 2 Char"/>
    <w:basedOn w:val="DefaultParagraphFont"/>
    <w:link w:val="Heading2"/>
    <w:uiPriority w:val="9"/>
    <w:rsid w:val="00FA0F4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2716">
      <w:bodyDiv w:val="1"/>
      <w:marLeft w:val="0"/>
      <w:marRight w:val="0"/>
      <w:marTop w:val="0"/>
      <w:marBottom w:val="0"/>
      <w:divBdr>
        <w:top w:val="none" w:sz="0" w:space="0" w:color="auto"/>
        <w:left w:val="none" w:sz="0" w:space="0" w:color="auto"/>
        <w:bottom w:val="none" w:sz="0" w:space="0" w:color="auto"/>
        <w:right w:val="none" w:sz="0" w:space="0" w:color="auto"/>
      </w:divBdr>
    </w:div>
    <w:div w:id="1293748872">
      <w:bodyDiv w:val="1"/>
      <w:marLeft w:val="0"/>
      <w:marRight w:val="0"/>
      <w:marTop w:val="0"/>
      <w:marBottom w:val="0"/>
      <w:divBdr>
        <w:top w:val="none" w:sz="0" w:space="0" w:color="auto"/>
        <w:left w:val="none" w:sz="0" w:space="0" w:color="auto"/>
        <w:bottom w:val="none" w:sz="0" w:space="0" w:color="auto"/>
        <w:right w:val="none" w:sz="0" w:space="0" w:color="auto"/>
      </w:divBdr>
      <w:divsChild>
        <w:div w:id="340546450">
          <w:marLeft w:val="0"/>
          <w:marRight w:val="0"/>
          <w:marTop w:val="0"/>
          <w:marBottom w:val="0"/>
          <w:divBdr>
            <w:top w:val="none" w:sz="0" w:space="0" w:color="auto"/>
            <w:left w:val="none" w:sz="0" w:space="0" w:color="auto"/>
            <w:bottom w:val="none" w:sz="0" w:space="0" w:color="auto"/>
            <w:right w:val="none" w:sz="0" w:space="0" w:color="auto"/>
          </w:divBdr>
        </w:div>
        <w:div w:id="990987333">
          <w:marLeft w:val="0"/>
          <w:marRight w:val="0"/>
          <w:marTop w:val="0"/>
          <w:marBottom w:val="0"/>
          <w:divBdr>
            <w:top w:val="none" w:sz="0" w:space="0" w:color="auto"/>
            <w:left w:val="none" w:sz="0" w:space="0" w:color="auto"/>
            <w:bottom w:val="none" w:sz="0" w:space="0" w:color="auto"/>
            <w:right w:val="none" w:sz="0" w:space="0" w:color="auto"/>
          </w:divBdr>
        </w:div>
        <w:div w:id="965813466">
          <w:marLeft w:val="0"/>
          <w:marRight w:val="0"/>
          <w:marTop w:val="0"/>
          <w:marBottom w:val="0"/>
          <w:divBdr>
            <w:top w:val="none" w:sz="0" w:space="0" w:color="auto"/>
            <w:left w:val="none" w:sz="0" w:space="0" w:color="auto"/>
            <w:bottom w:val="none" w:sz="0" w:space="0" w:color="auto"/>
            <w:right w:val="none" w:sz="0" w:space="0" w:color="auto"/>
          </w:divBdr>
        </w:div>
        <w:div w:id="850528521">
          <w:marLeft w:val="0"/>
          <w:marRight w:val="0"/>
          <w:marTop w:val="0"/>
          <w:marBottom w:val="0"/>
          <w:divBdr>
            <w:top w:val="none" w:sz="0" w:space="0" w:color="auto"/>
            <w:left w:val="none" w:sz="0" w:space="0" w:color="auto"/>
            <w:bottom w:val="none" w:sz="0" w:space="0" w:color="auto"/>
            <w:right w:val="none" w:sz="0" w:space="0" w:color="auto"/>
          </w:divBdr>
        </w:div>
        <w:div w:id="1729722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tatusCalls xmlns="3a8a1160-485e-4e45-b8cc-3eb60f06e8b9" xsi:nil="true"/>
    <lcf76f155ced4ddcb4097134ff3c332f xmlns="3a8a1160-485e-4e45-b8cc-3eb60f06e8b9">
      <Terms xmlns="http://schemas.microsoft.com/office/infopath/2007/PartnerControls"/>
    </lcf76f155ced4ddcb4097134ff3c332f>
    <TaxCatchAll xmlns="c35090b3-64f1-4528-b25f-c34218e25d33" xsi:nil="tru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3F145534D507C74EAC226738709DB8A4" ma:contentTypeVersion="22" ma:contentTypeDescription="Create a new document." ma:contentTypeScope="" ma:versionID="03b0892b29042b3a5473af5fae3cf661">
  <xsd:schema xmlns:xsd="http://www.w3.org/2001/XMLSchema" xmlns:xs="http://www.w3.org/2001/XMLSchema" xmlns:p="http://schemas.microsoft.com/office/2006/metadata/properties" xmlns:ns1="http://schemas.microsoft.com/sharepoint/v3" xmlns:ns2="c35090b3-64f1-4528-b25f-c34218e25d33" xmlns:ns3="3a8a1160-485e-4e45-b8cc-3eb60f06e8b9" targetNamespace="http://schemas.microsoft.com/office/2006/metadata/properties" ma:root="true" ma:fieldsID="87e6dbec60f4afdd6fb7e9447f2b861f" ns1:_="" ns2:_="" ns3:_="">
    <xsd:import namespace="http://schemas.microsoft.com/sharepoint/v3"/>
    <xsd:import namespace="c35090b3-64f1-4528-b25f-c34218e25d33"/>
    <xsd:import namespace="3a8a1160-485e-4e45-b8cc-3eb60f06e8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StatusCal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5090b3-64f1-4528-b25f-c34218e25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3b6f2-5499-4909-8bde-6fead195eff4}" ma:internalName="TaxCatchAll" ma:showField="CatchAllData" ma:web="c35090b3-64f1-4528-b25f-c34218e25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8a1160-485e-4e45-b8cc-3eb60f06e8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Calls" ma:index="14" nillable="true" ma:displayName="Meetings" ma:format="Dropdown" ma:internalName="StatusCalls">
      <xsd:simpleType>
        <xsd:union memberTypes="dms:Text">
          <xsd:simpleType>
            <xsd:restriction base="dms:Choice">
              <xsd:enumeration value="N/A"/>
              <xsd:enumeration value="Kick off"/>
              <xsd:enumeration value="MVP"/>
              <xsd:enumeration value="COR"/>
              <xsd:enumeration value="Call for Measures"/>
              <xsd:enumeration value="CMS IA Review"/>
              <xsd:enumeration value="IA Stakeholder"/>
              <xsd:enumeration value="IA Team"/>
              <xsd:enumeration value="IA TEP"/>
              <xsd:enumeration value="IBR"/>
              <xsd:enumeration value="Implementation Stakeholder"/>
              <xsd:enumeration value="PI Measure Review"/>
              <xsd:enumeration value="Management Review"/>
              <xsd:enumeration value="QCDR Measure Review"/>
              <xsd:enumeration value="QCDR/QR Kickoff"/>
              <xsd:enumeration value="QCDR/QR Support Call"/>
              <xsd:enumeration value="Choice 17"/>
              <xsd:enumeration value="Rulemaking"/>
              <xsd:enumeration value="Web Interface"/>
            </xsd:restriction>
          </xsd:simpleType>
        </xsd:un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e06253-cc87-4de9-900f-0f4cfde6db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http://schemas.microsoft.com/sharepoint/v3"/>
    <ds:schemaRef ds:uri="3a8a1160-485e-4e45-b8cc-3eb60f06e8b9"/>
    <ds:schemaRef ds:uri="c35090b3-64f1-4528-b25f-c34218e25d33"/>
  </ds:schemaRefs>
</ds:datastoreItem>
</file>

<file path=customXml/itemProps2.xml><?xml version="1.0" encoding="utf-8"?>
<ds:datastoreItem xmlns:ds="http://schemas.openxmlformats.org/officeDocument/2006/customXml" ds:itemID="{8C166FB0-A398-4A14-80AF-F9EB7C7017F8}">
  <ds:schemaRefs>
    <ds:schemaRef ds:uri="http://schemas.microsoft.com/sharepoint/v3/contenttype/forms"/>
  </ds:schemaRefs>
</ds:datastoreItem>
</file>

<file path=customXml/itemProps3.xml><?xml version="1.0" encoding="utf-8"?>
<ds:datastoreItem xmlns:ds="http://schemas.openxmlformats.org/officeDocument/2006/customXml" ds:itemID="{14335518-C5D3-47E1-A76F-09684626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5090b3-64f1-4528-b25f-c34218e25d33"/>
    <ds:schemaRef ds:uri="3a8a1160-485e-4e45-b8cc-3eb60f06e8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1396</Words>
  <Characters>7962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2024 MIPS Peer-Reviewed Journal Article Requirement Template</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MIPS Peer-Reviewed Journal Article Requirement Template</dc:title>
  <dc:subject>2024 MIPS Peer-Reviewed Journal Article Requirement Template</dc:subject>
  <dc:creator>American Academy of Neurology</dc:creator>
  <cp:keywords>2024, MIPS, Peer-Reviewed Journal, Article Requirement, Template, MUC2024-079, evidence</cp:keywords>
  <dc:description/>
  <cp:lastModifiedBy>Ghunney, Aya (US)</cp:lastModifiedBy>
  <cp:revision>5</cp:revision>
  <dcterms:created xsi:type="dcterms:W3CDTF">2024-05-06T18:29:00Z</dcterms:created>
  <dcterms:modified xsi:type="dcterms:W3CDTF">2024-08-12T20:14:00Z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0x0101003F145534D507C74EAC226738709DB8A4</vt:lpwstr>
  </property>
  <property fmtid="{D5CDD505-2E9C-101B-9397-08002B2CF9AE}" pid="3" name="MediaServiceImageTags">
    <vt:lpwstr/>
  </property>
</Properties>
</file>