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61FD8A" w14:textId="72F551D9" w:rsidR="0067225E" w:rsidRPr="00C23C64" w:rsidRDefault="00D923CC" w:rsidP="005C625B">
      <w:pPr>
        <w:pStyle w:val="Heading1"/>
      </w:pPr>
      <w:r>
        <w:t xml:space="preserve">Measure </w:t>
      </w:r>
      <w:r w:rsidR="004C711D">
        <w:t xml:space="preserve">Information and </w:t>
      </w:r>
      <w:r>
        <w:t>Justification Form</w:t>
      </w:r>
    </w:p>
    <w:p w14:paraId="48E06F69" w14:textId="4CDAF878" w:rsidR="00794ABA" w:rsidRPr="00533F93" w:rsidRDefault="00DD2C64" w:rsidP="2CB3E62B">
      <w:pPr>
        <w:pStyle w:val="Heading2"/>
      </w:pPr>
      <w:r w:rsidRPr="2CB3E62B">
        <w:t xml:space="preserve">Project </w:t>
      </w:r>
      <w:r w:rsidR="00794ABA" w:rsidRPr="2CB3E62B">
        <w:t>Title</w:t>
      </w:r>
      <w:r w:rsidR="004C28D0" w:rsidRPr="2CB3E62B">
        <w:t xml:space="preserve">: </w:t>
      </w:r>
      <w:r w:rsidR="00156198" w:rsidRPr="2CB3E62B">
        <w:rPr>
          <w:b w:val="0"/>
          <w:bCs w:val="0"/>
        </w:rPr>
        <w:t>Emergency Care Capacity and Quality Electronic Clinical Quality Measure</w:t>
      </w:r>
    </w:p>
    <w:p w14:paraId="66A1800C" w14:textId="27716DEB" w:rsidR="00387300" w:rsidRPr="00346072" w:rsidRDefault="00387300" w:rsidP="1B174BA5">
      <w:pPr>
        <w:pStyle w:val="BlueprintText"/>
      </w:pPr>
      <w:r w:rsidRPr="2CB3E62B">
        <w:rPr>
          <w:b/>
          <w:bCs/>
          <w:lang w:eastAsia="ja-JP"/>
        </w:rPr>
        <w:t>Date</w:t>
      </w:r>
      <w:r w:rsidRPr="00346072">
        <w:rPr>
          <w:b/>
          <w:bCs/>
          <w:lang w:eastAsia="ja-JP"/>
        </w:rPr>
        <w:t>:</w:t>
      </w:r>
      <w:r w:rsidR="004C28D0" w:rsidRPr="00346072">
        <w:rPr>
          <w:b/>
          <w:bCs/>
          <w:lang w:eastAsia="ja-JP"/>
        </w:rPr>
        <w:t xml:space="preserve"> </w:t>
      </w:r>
      <w:r w:rsidR="00376AC8" w:rsidRPr="00346072">
        <w:t>8/</w:t>
      </w:r>
      <w:r w:rsidR="00D95B04">
        <w:t>15</w:t>
      </w:r>
      <w:r w:rsidR="001A4711" w:rsidRPr="00346072">
        <w:t>/2024</w:t>
      </w:r>
    </w:p>
    <w:p w14:paraId="0C244616" w14:textId="57DBDD41" w:rsidR="00387300" w:rsidRPr="00533F93" w:rsidRDefault="00387300" w:rsidP="1B174BA5">
      <w:pPr>
        <w:pStyle w:val="BlueprintText"/>
      </w:pPr>
      <w:r w:rsidRPr="00346072">
        <w:t xml:space="preserve">Information included is current on </w:t>
      </w:r>
      <w:r w:rsidR="001A4711" w:rsidRPr="00346072">
        <w:t>8</w:t>
      </w:r>
      <w:r w:rsidR="004C28D0" w:rsidRPr="00346072">
        <w:t>/</w:t>
      </w:r>
      <w:r w:rsidR="00D95B04">
        <w:t>15</w:t>
      </w:r>
      <w:r w:rsidR="004C28D0" w:rsidRPr="00346072">
        <w:t>/2024</w:t>
      </w:r>
      <w:r w:rsidRPr="00346072">
        <w:t>.</w:t>
      </w:r>
    </w:p>
    <w:p w14:paraId="651EE982" w14:textId="738338BB" w:rsidR="00794ABA" w:rsidRPr="00533F93" w:rsidRDefault="00794ABA" w:rsidP="00B52BA6">
      <w:pPr>
        <w:pStyle w:val="BlueprintText"/>
        <w:rPr>
          <w:rFonts w:cstheme="minorHAnsi"/>
          <w:b/>
          <w:bCs/>
        </w:rPr>
      </w:pPr>
      <w:r w:rsidRPr="00533F93">
        <w:rPr>
          <w:rFonts w:cstheme="minorHAnsi"/>
          <w:b/>
          <w:bCs/>
        </w:rPr>
        <w:t>Project Overview:</w:t>
      </w:r>
    </w:p>
    <w:p w14:paraId="7717A31D" w14:textId="255DA49B" w:rsidR="009E5834" w:rsidRPr="00533F93" w:rsidRDefault="00112D5D" w:rsidP="3D906527">
      <w:pPr>
        <w:pStyle w:val="BlueprintText"/>
      </w:pPr>
      <w:r w:rsidRPr="3D906527">
        <w:t xml:space="preserve">The Centers for Medicare &amp; Medicaid Services (CMS) has contracted with Yale New Haven Health Services Corporation – Center for Outcomes Research and Evaluation (CORE) to develop a measure of emergency care capacity and quality. This measure will be an electronic clinical quality measure (eCQM) determining emergency department (ED) care capacity and quality. The contract name is Measure &amp; Instrument Development and Support (MIDS): Development, Reevaluation, and Implementation of Outpatient Outcome/Efficiency Measures, Option Period 4. The contract number is HHSM-75FCMC18D0042. As part of its measure development process, CORE requests interested parties to submit comments on the candidate or concept measures that may be suitable for this project. </w:t>
      </w:r>
      <w:r w:rsidR="1F174797" w:rsidRPr="3D906527">
        <w:t>This project's main objective is to evaluate emergency care capacity and quality.</w:t>
      </w:r>
    </w:p>
    <w:p w14:paraId="1978BEAF" w14:textId="0F9F0BDA" w:rsidR="00794ABA" w:rsidRPr="00533F93" w:rsidRDefault="00794ABA" w:rsidP="00387300">
      <w:pPr>
        <w:pStyle w:val="BlueprintText"/>
        <w:rPr>
          <w:rFonts w:cstheme="minorHAnsi"/>
          <w:color w:val="000000"/>
          <w:shd w:val="clear" w:color="auto" w:fill="FFFFFF"/>
        </w:rPr>
      </w:pPr>
      <w:r w:rsidRPr="00533F93">
        <w:rPr>
          <w:rFonts w:cstheme="minorHAnsi"/>
          <w:b/>
        </w:rPr>
        <w:t>Measure Name/Title</w:t>
      </w:r>
      <w:r w:rsidR="00FB5C37" w:rsidRPr="00533F93">
        <w:rPr>
          <w:rFonts w:cstheme="minorHAnsi"/>
          <w:b/>
        </w:rPr>
        <w:t xml:space="preserve">: </w:t>
      </w:r>
      <w:r w:rsidR="007770F6" w:rsidRPr="00533F93">
        <w:rPr>
          <w:rFonts w:cstheme="minorHAnsi"/>
        </w:rPr>
        <w:t>Emergency Care Capacity and Quality</w:t>
      </w:r>
    </w:p>
    <w:p w14:paraId="0498D78F" w14:textId="77777777" w:rsidR="0040125A" w:rsidRPr="00533F93" w:rsidRDefault="0040125A" w:rsidP="00C23C64">
      <w:pPr>
        <w:pStyle w:val="Heading3"/>
        <w:rPr>
          <w:rFonts w:cstheme="minorHAnsi"/>
        </w:rPr>
      </w:pPr>
      <w:r w:rsidRPr="00533F93">
        <w:rPr>
          <w:rFonts w:cstheme="minorHAnsi"/>
        </w:rPr>
        <w:t>Descriptive Information</w:t>
      </w:r>
    </w:p>
    <w:p w14:paraId="76923A06" w14:textId="4138C369" w:rsidR="0040125A" w:rsidRPr="00533F93" w:rsidRDefault="00D03558" w:rsidP="00C23C64">
      <w:pPr>
        <w:pStyle w:val="Heading4"/>
        <w:rPr>
          <w:rFonts w:cstheme="minorHAnsi"/>
        </w:rPr>
      </w:pPr>
      <w:r w:rsidRPr="00533F93">
        <w:rPr>
          <w:rFonts w:cstheme="minorHAnsi"/>
        </w:rPr>
        <w:t>1</w:t>
      </w:r>
      <w:r w:rsidR="0040125A" w:rsidRPr="00533F93">
        <w:rPr>
          <w:rFonts w:cstheme="minorHAnsi"/>
        </w:rPr>
        <w:t>.1</w:t>
      </w:r>
      <w:r w:rsidR="0040125A" w:rsidRPr="00533F93">
        <w:rPr>
          <w:rFonts w:cstheme="minorHAnsi"/>
        </w:rPr>
        <w:tab/>
        <w:t xml:space="preserve">Measure Type </w:t>
      </w:r>
    </w:p>
    <w:p w14:paraId="52C83B1B" w14:textId="3DAFD9B6" w:rsidR="0040125A" w:rsidRPr="00D42647" w:rsidRDefault="00D95B04" w:rsidP="0040125A">
      <w:pPr>
        <w:pStyle w:val="ListBullet"/>
        <w:numPr>
          <w:ilvl w:val="0"/>
          <w:numId w:val="0"/>
        </w:numPr>
        <w:ind w:left="360"/>
        <w:rPr>
          <w:rFonts w:cstheme="minorHAnsi"/>
          <w:bCs/>
        </w:rPr>
      </w:pPr>
      <w:sdt>
        <w:sdtPr>
          <w:rPr>
            <w:rFonts w:eastAsia="MS Gothic" w:cstheme="minorHAnsi"/>
            <w:bCs/>
          </w:rPr>
          <w:id w:val="770437658"/>
          <w14:checkbox>
            <w14:checked w14:val="0"/>
            <w14:checkedState w14:val="2612" w14:font="MS Gothic"/>
            <w14:uncheckedState w14:val="2610" w14:font="MS Gothic"/>
          </w14:checkbox>
        </w:sdtPr>
        <w:sdtEndPr/>
        <w:sdtContent>
          <w:r w:rsidR="003124FD" w:rsidRPr="00D42647">
            <w:rPr>
              <w:rFonts w:ascii="MS Gothic" w:eastAsia="MS Gothic" w:hAnsi="MS Gothic" w:cs="Segoe UI Symbol" w:hint="eastAsia"/>
              <w:bCs/>
            </w:rPr>
            <w:t>☐</w:t>
          </w:r>
        </w:sdtContent>
      </w:sdt>
      <w:r w:rsidR="0040125A" w:rsidRPr="00D42647">
        <w:rPr>
          <w:rFonts w:cstheme="minorHAnsi"/>
          <w:bCs/>
        </w:rPr>
        <w:t>process</w:t>
      </w:r>
    </w:p>
    <w:p w14:paraId="66904AFB" w14:textId="77777777" w:rsidR="0040125A" w:rsidRPr="00533F93" w:rsidRDefault="0040125A" w:rsidP="0040125A">
      <w:pPr>
        <w:pStyle w:val="ListBullet"/>
        <w:numPr>
          <w:ilvl w:val="0"/>
          <w:numId w:val="0"/>
        </w:numPr>
        <w:ind w:left="360"/>
        <w:rPr>
          <w:rFonts w:cstheme="minorHAnsi"/>
        </w:rPr>
      </w:pPr>
      <w:r w:rsidRPr="00533F93">
        <w:rPr>
          <w:rFonts w:ascii="Segoe UI Symbol" w:eastAsia="MS Gothic" w:hAnsi="Segoe UI Symbol" w:cs="Segoe UI Symbol"/>
        </w:rPr>
        <w:t>☐</w:t>
      </w:r>
      <w:r w:rsidRPr="00533F93">
        <w:rPr>
          <w:rFonts w:cstheme="minorHAnsi"/>
        </w:rPr>
        <w:t>outcome</w:t>
      </w:r>
    </w:p>
    <w:p w14:paraId="489966A9" w14:textId="77777777" w:rsidR="0040125A" w:rsidRPr="00533F93" w:rsidRDefault="0040125A" w:rsidP="0040125A">
      <w:pPr>
        <w:pStyle w:val="ListBullet"/>
        <w:numPr>
          <w:ilvl w:val="0"/>
          <w:numId w:val="0"/>
        </w:numPr>
        <w:ind w:left="360"/>
        <w:rPr>
          <w:rFonts w:cstheme="minorHAnsi"/>
        </w:rPr>
      </w:pPr>
      <w:r w:rsidRPr="00533F93">
        <w:rPr>
          <w:rFonts w:ascii="Segoe UI Symbol" w:eastAsia="MS Gothic" w:hAnsi="Segoe UI Symbol" w:cs="Segoe UI Symbol"/>
        </w:rPr>
        <w:t>☐</w:t>
      </w:r>
      <w:r w:rsidRPr="00533F93">
        <w:rPr>
          <w:rFonts w:cstheme="minorHAnsi"/>
        </w:rPr>
        <w:t>PRO-PM</w:t>
      </w:r>
    </w:p>
    <w:p w14:paraId="40043551" w14:textId="77777777" w:rsidR="0040125A" w:rsidRPr="00533F93" w:rsidRDefault="0040125A" w:rsidP="0040125A">
      <w:pPr>
        <w:pStyle w:val="ListBullet"/>
        <w:numPr>
          <w:ilvl w:val="0"/>
          <w:numId w:val="0"/>
        </w:numPr>
        <w:ind w:left="360"/>
        <w:rPr>
          <w:rFonts w:cstheme="minorHAnsi"/>
        </w:rPr>
      </w:pPr>
      <w:r w:rsidRPr="00533F93">
        <w:rPr>
          <w:rFonts w:ascii="Segoe UI Symbol" w:eastAsia="MS Gothic" w:hAnsi="Segoe UI Symbol" w:cs="Segoe UI Symbol"/>
        </w:rPr>
        <w:t>☐</w:t>
      </w:r>
      <w:r w:rsidRPr="00533F93">
        <w:rPr>
          <w:rFonts w:cstheme="minorHAnsi"/>
        </w:rPr>
        <w:t>cost /resource use</w:t>
      </w:r>
    </w:p>
    <w:p w14:paraId="7C7E28AF" w14:textId="77777777" w:rsidR="0040125A" w:rsidRPr="00533F93" w:rsidRDefault="0040125A" w:rsidP="0040125A">
      <w:pPr>
        <w:pStyle w:val="ListBullet"/>
        <w:numPr>
          <w:ilvl w:val="0"/>
          <w:numId w:val="0"/>
        </w:numPr>
        <w:ind w:left="360"/>
        <w:rPr>
          <w:rFonts w:cstheme="minorHAnsi"/>
        </w:rPr>
      </w:pPr>
      <w:bookmarkStart w:id="0" w:name="_Hlk59021942"/>
      <w:r w:rsidRPr="00533F93">
        <w:rPr>
          <w:rFonts w:ascii="Segoe UI Symbol" w:eastAsia="MS Gothic" w:hAnsi="Segoe UI Symbol" w:cs="Segoe UI Symbol"/>
        </w:rPr>
        <w:t>☐</w:t>
      </w:r>
      <w:r w:rsidRPr="00533F93">
        <w:rPr>
          <w:rFonts w:cstheme="minorHAnsi"/>
        </w:rPr>
        <w:t>efficiency</w:t>
      </w:r>
    </w:p>
    <w:bookmarkEnd w:id="0"/>
    <w:p w14:paraId="0EEBADA0" w14:textId="77777777" w:rsidR="0040125A" w:rsidRPr="00533F93" w:rsidRDefault="0040125A" w:rsidP="0040125A">
      <w:pPr>
        <w:pStyle w:val="ListBullet"/>
        <w:numPr>
          <w:ilvl w:val="0"/>
          <w:numId w:val="0"/>
        </w:numPr>
        <w:ind w:left="360"/>
        <w:rPr>
          <w:rFonts w:cstheme="minorHAnsi"/>
        </w:rPr>
      </w:pPr>
      <w:r w:rsidRPr="00533F93">
        <w:rPr>
          <w:rFonts w:ascii="Segoe UI Symbol" w:eastAsia="MS Gothic" w:hAnsi="Segoe UI Symbol" w:cs="Segoe UI Symbol"/>
        </w:rPr>
        <w:t>☐</w:t>
      </w:r>
      <w:r w:rsidRPr="00533F93">
        <w:rPr>
          <w:rFonts w:cstheme="minorHAnsi"/>
        </w:rPr>
        <w:t>structure</w:t>
      </w:r>
    </w:p>
    <w:p w14:paraId="027083E8" w14:textId="4EBC4D09" w:rsidR="0040125A" w:rsidRPr="00DB61C3" w:rsidRDefault="00D95B04" w:rsidP="0040125A">
      <w:pPr>
        <w:pStyle w:val="ListBullet"/>
        <w:numPr>
          <w:ilvl w:val="0"/>
          <w:numId w:val="0"/>
        </w:numPr>
        <w:ind w:left="360"/>
        <w:rPr>
          <w:rFonts w:cstheme="minorHAnsi"/>
          <w:b/>
          <w:bCs/>
        </w:rPr>
      </w:pPr>
      <w:sdt>
        <w:sdtPr>
          <w:rPr>
            <w:rFonts w:cstheme="minorHAnsi"/>
            <w:b/>
            <w:bCs/>
          </w:rPr>
          <w:id w:val="1136909958"/>
          <w14:checkbox>
            <w14:checked w14:val="1"/>
            <w14:checkedState w14:val="2612" w14:font="MS Gothic"/>
            <w14:uncheckedState w14:val="2610" w14:font="MS Gothic"/>
          </w14:checkbox>
        </w:sdtPr>
        <w:sdtEndPr/>
        <w:sdtContent>
          <w:r w:rsidR="00DB61C3" w:rsidRPr="00DB61C3">
            <w:rPr>
              <w:rFonts w:ascii="MS Gothic" w:eastAsia="MS Gothic" w:hAnsi="MS Gothic" w:cstheme="minorHAnsi" w:hint="eastAsia"/>
              <w:b/>
              <w:bCs/>
            </w:rPr>
            <w:t>☒</w:t>
          </w:r>
        </w:sdtContent>
      </w:sdt>
      <w:r w:rsidR="0040125A" w:rsidRPr="00DB61C3">
        <w:rPr>
          <w:rFonts w:cstheme="minorHAnsi"/>
          <w:b/>
          <w:bCs/>
        </w:rPr>
        <w:t>intermediate outcome</w:t>
      </w:r>
    </w:p>
    <w:p w14:paraId="31811846" w14:textId="77777777" w:rsidR="0040125A" w:rsidRPr="00533F93" w:rsidRDefault="0040125A" w:rsidP="0040125A">
      <w:pPr>
        <w:pStyle w:val="ListBullet"/>
        <w:numPr>
          <w:ilvl w:val="0"/>
          <w:numId w:val="0"/>
        </w:numPr>
        <w:ind w:left="360"/>
        <w:rPr>
          <w:rFonts w:cstheme="minorHAnsi"/>
        </w:rPr>
      </w:pPr>
      <w:r w:rsidRPr="00533F93">
        <w:rPr>
          <w:rFonts w:ascii="Segoe UI Symbol" w:eastAsia="MS Gothic" w:hAnsi="Segoe UI Symbol" w:cs="Segoe UI Symbol"/>
        </w:rPr>
        <w:t>☐</w:t>
      </w:r>
      <w:r w:rsidRPr="00533F93">
        <w:rPr>
          <w:rFonts w:cstheme="minorHAnsi"/>
        </w:rPr>
        <w:t>population health</w:t>
      </w:r>
    </w:p>
    <w:p w14:paraId="408D09BA" w14:textId="77777777" w:rsidR="0040125A" w:rsidRPr="00533F93" w:rsidRDefault="0040125A" w:rsidP="0040125A">
      <w:pPr>
        <w:pStyle w:val="ListBullet"/>
        <w:numPr>
          <w:ilvl w:val="0"/>
          <w:numId w:val="0"/>
        </w:numPr>
        <w:ind w:left="360"/>
        <w:rPr>
          <w:rFonts w:cstheme="minorHAnsi"/>
        </w:rPr>
      </w:pPr>
      <w:r w:rsidRPr="00533F93">
        <w:rPr>
          <w:rFonts w:ascii="Segoe UI Symbol" w:eastAsia="MS Gothic" w:hAnsi="Segoe UI Symbol" w:cs="Segoe UI Symbol"/>
        </w:rPr>
        <w:t>☐</w:t>
      </w:r>
      <w:r w:rsidRPr="00533F93">
        <w:rPr>
          <w:rFonts w:cstheme="minorHAnsi"/>
        </w:rPr>
        <w:t>composite</w:t>
      </w:r>
    </w:p>
    <w:p w14:paraId="7DBAFC4F" w14:textId="77777777" w:rsidR="0040125A" w:rsidRPr="00533F93" w:rsidRDefault="0040125A" w:rsidP="0040125A">
      <w:pPr>
        <w:pStyle w:val="ListBullet"/>
        <w:numPr>
          <w:ilvl w:val="0"/>
          <w:numId w:val="0"/>
        </w:numPr>
        <w:ind w:left="720"/>
        <w:rPr>
          <w:rFonts w:cstheme="minorHAnsi"/>
        </w:rPr>
      </w:pPr>
      <w:r w:rsidRPr="00533F93">
        <w:rPr>
          <w:rFonts w:ascii="Segoe UI Symbol" w:eastAsia="MS Gothic" w:hAnsi="Segoe UI Symbol" w:cs="Segoe UI Symbol"/>
        </w:rPr>
        <w:t>☐</w:t>
      </w:r>
      <w:r w:rsidRPr="00533F93">
        <w:rPr>
          <w:rFonts w:cstheme="minorHAnsi"/>
        </w:rPr>
        <w:t>process</w:t>
      </w:r>
    </w:p>
    <w:p w14:paraId="096E5771" w14:textId="77777777" w:rsidR="0040125A" w:rsidRPr="00533F93" w:rsidRDefault="0040125A" w:rsidP="0040125A">
      <w:pPr>
        <w:pStyle w:val="ListBullet"/>
        <w:numPr>
          <w:ilvl w:val="0"/>
          <w:numId w:val="0"/>
        </w:numPr>
        <w:ind w:left="720"/>
        <w:rPr>
          <w:rFonts w:cstheme="minorHAnsi"/>
        </w:rPr>
      </w:pPr>
      <w:r w:rsidRPr="00533F93">
        <w:rPr>
          <w:rFonts w:ascii="Segoe UI Symbol" w:eastAsia="MS Gothic" w:hAnsi="Segoe UI Symbol" w:cs="Segoe UI Symbol"/>
        </w:rPr>
        <w:t>☐</w:t>
      </w:r>
      <w:r w:rsidRPr="00533F93">
        <w:rPr>
          <w:rFonts w:cstheme="minorHAnsi"/>
        </w:rPr>
        <w:t>outcome</w:t>
      </w:r>
    </w:p>
    <w:p w14:paraId="691D3D86" w14:textId="77777777" w:rsidR="0040125A" w:rsidRPr="00533F93" w:rsidRDefault="0040125A" w:rsidP="0040125A">
      <w:pPr>
        <w:pStyle w:val="ListBullet"/>
        <w:numPr>
          <w:ilvl w:val="0"/>
          <w:numId w:val="0"/>
        </w:numPr>
        <w:ind w:left="720"/>
        <w:rPr>
          <w:rFonts w:cstheme="minorHAnsi"/>
        </w:rPr>
      </w:pPr>
      <w:r w:rsidRPr="00533F93">
        <w:rPr>
          <w:rFonts w:ascii="Segoe UI Symbol" w:eastAsia="MS Gothic" w:hAnsi="Segoe UI Symbol" w:cs="Segoe UI Symbol"/>
        </w:rPr>
        <w:t>☐</w:t>
      </w:r>
      <w:r w:rsidRPr="00533F93">
        <w:rPr>
          <w:rFonts w:cstheme="minorHAnsi"/>
        </w:rPr>
        <w:t>other</w:t>
      </w:r>
    </w:p>
    <w:p w14:paraId="21CE35B8" w14:textId="77777777" w:rsidR="0040125A" w:rsidRPr="00533F93" w:rsidRDefault="0040125A" w:rsidP="0040125A">
      <w:pPr>
        <w:pStyle w:val="ListBullet"/>
        <w:numPr>
          <w:ilvl w:val="0"/>
          <w:numId w:val="0"/>
        </w:numPr>
        <w:ind w:left="720" w:hanging="360"/>
        <w:rPr>
          <w:rFonts w:cstheme="minorHAnsi"/>
        </w:rPr>
      </w:pPr>
      <w:r w:rsidRPr="00533F93">
        <w:rPr>
          <w:rFonts w:ascii="Segoe UI Symbol" w:eastAsia="MS Gothic" w:hAnsi="Segoe UI Symbol" w:cs="Segoe UI Symbol"/>
        </w:rPr>
        <w:t>☐</w:t>
      </w:r>
      <w:r w:rsidRPr="00533F93">
        <w:rPr>
          <w:rFonts w:cstheme="minorHAnsi"/>
        </w:rPr>
        <w:t>other</w:t>
      </w:r>
    </w:p>
    <w:p w14:paraId="4615E73D" w14:textId="22A48AED" w:rsidR="0040125A" w:rsidRPr="00533F93" w:rsidRDefault="00D03558" w:rsidP="1B174BA5">
      <w:pPr>
        <w:pStyle w:val="Heading4"/>
      </w:pPr>
      <w:r w:rsidRPr="1B174BA5">
        <w:t>1</w:t>
      </w:r>
      <w:r w:rsidR="0040125A" w:rsidRPr="1B174BA5">
        <w:t>.2</w:t>
      </w:r>
      <w:r>
        <w:tab/>
      </w:r>
      <w:r w:rsidR="0040125A" w:rsidRPr="1B174BA5">
        <w:t xml:space="preserve">Brief Description of Measure </w:t>
      </w:r>
      <w:bookmarkStart w:id="1" w:name="_Hlk140732027"/>
      <w:bookmarkEnd w:id="1"/>
    </w:p>
    <w:p w14:paraId="2B962975" w14:textId="5A5555C6" w:rsidR="28F6B296" w:rsidRDefault="28F6B296" w:rsidP="1B174BA5">
      <w:pPr>
        <w:spacing w:after="120" w:line="240" w:lineRule="auto"/>
        <w:rPr>
          <w:rFonts w:ascii="Calibri" w:eastAsia="Calibri" w:hAnsi="Calibri" w:cs="Calibri"/>
          <w:color w:val="000000" w:themeColor="text1"/>
        </w:rPr>
      </w:pPr>
      <w:r w:rsidRPr="1B174BA5">
        <w:rPr>
          <w:rFonts w:ascii="Calibri" w:eastAsia="Calibri" w:hAnsi="Calibri" w:cs="Calibri"/>
          <w:color w:val="000000" w:themeColor="text1"/>
        </w:rPr>
        <w:t xml:space="preserve">The measure aims to reduce patient harm and improve outcomes for patients requiring emergency care in an ED. Emergency care capacity is inclusive of several concepts pertaining to boarding and crowding in an ED. This measure aligns with incentives to promote improved care both in EDs and the broader health system to help identify where patients </w:t>
      </w:r>
      <w:r w:rsidR="00466184">
        <w:rPr>
          <w:rFonts w:ascii="Calibri" w:eastAsia="Calibri" w:hAnsi="Calibri" w:cs="Calibri"/>
          <w:color w:val="000000" w:themeColor="text1"/>
        </w:rPr>
        <w:t xml:space="preserve">experience failures in </w:t>
      </w:r>
      <w:r w:rsidRPr="1B174BA5">
        <w:rPr>
          <w:rFonts w:ascii="Calibri" w:eastAsia="Calibri" w:hAnsi="Calibri" w:cs="Calibri"/>
          <w:color w:val="000000" w:themeColor="text1"/>
        </w:rPr>
        <w:t>access to emergency care.</w:t>
      </w:r>
    </w:p>
    <w:p w14:paraId="5154DAE9" w14:textId="34ECE17E" w:rsidR="0040125A" w:rsidRPr="00533F93" w:rsidRDefault="00D03558" w:rsidP="00C23C64">
      <w:pPr>
        <w:pStyle w:val="Heading4"/>
        <w:rPr>
          <w:rFonts w:cstheme="minorHAnsi"/>
        </w:rPr>
      </w:pPr>
      <w:r w:rsidRPr="00533F93">
        <w:rPr>
          <w:rFonts w:cstheme="minorHAnsi"/>
        </w:rPr>
        <w:t>1</w:t>
      </w:r>
      <w:r w:rsidR="0040125A" w:rsidRPr="00533F93">
        <w:rPr>
          <w:rFonts w:cstheme="minorHAnsi"/>
        </w:rPr>
        <w:t>.3</w:t>
      </w:r>
      <w:r w:rsidR="0040125A" w:rsidRPr="00533F93">
        <w:rPr>
          <w:rFonts w:cstheme="minorHAnsi"/>
        </w:rPr>
        <w:tab/>
        <w:t xml:space="preserve">If Paired or Grouped </w:t>
      </w:r>
    </w:p>
    <w:p w14:paraId="3F5F0EFC" w14:textId="703B8401" w:rsidR="0040125A" w:rsidRPr="00533F93" w:rsidRDefault="330AB9D1" w:rsidP="1B174BA5">
      <w:pPr>
        <w:pStyle w:val="BlueprintText"/>
        <w:ind w:left="720"/>
      </w:pPr>
      <w:r w:rsidRPr="1B174BA5">
        <w:lastRenderedPageBreak/>
        <w:t>Not applicable.</w:t>
      </w:r>
    </w:p>
    <w:p w14:paraId="3CCEBA6E" w14:textId="34E0CE5B" w:rsidR="0040125A" w:rsidRPr="00533F93" w:rsidRDefault="0040125A" w:rsidP="00C23C64">
      <w:pPr>
        <w:pStyle w:val="Heading3"/>
        <w:rPr>
          <w:rFonts w:cstheme="minorHAnsi"/>
        </w:rPr>
      </w:pPr>
      <w:r w:rsidRPr="00533F93">
        <w:rPr>
          <w:rFonts w:cstheme="minorHAnsi"/>
        </w:rPr>
        <w:t>Measure Specifications</w:t>
      </w:r>
    </w:p>
    <w:p w14:paraId="72475E53" w14:textId="70D43E7B" w:rsidR="0040125A" w:rsidRPr="00533F93" w:rsidRDefault="00550049" w:rsidP="00C23C64">
      <w:pPr>
        <w:pStyle w:val="Heading4"/>
        <w:rPr>
          <w:rFonts w:cstheme="minorHAnsi"/>
        </w:rPr>
      </w:pPr>
      <w:r w:rsidRPr="00533F93">
        <w:rPr>
          <w:rFonts w:cstheme="minorHAnsi"/>
        </w:rPr>
        <w:t xml:space="preserve">2.1 </w:t>
      </w:r>
      <w:r w:rsidR="00D65C9E" w:rsidRPr="00533F93">
        <w:rPr>
          <w:rFonts w:cstheme="minorHAnsi"/>
        </w:rPr>
        <w:tab/>
      </w:r>
      <w:r w:rsidR="0040125A" w:rsidRPr="00533F93">
        <w:rPr>
          <w:rFonts w:cstheme="minorHAnsi"/>
        </w:rPr>
        <w:t xml:space="preserve">Measure-Specific Webpage </w:t>
      </w:r>
    </w:p>
    <w:p w14:paraId="2139A2FF" w14:textId="2BA67CD7" w:rsidR="00D65C9E" w:rsidRPr="00533F93" w:rsidRDefault="330AB9D1" w:rsidP="1B174BA5">
      <w:pPr>
        <w:pStyle w:val="BlueprintText"/>
      </w:pPr>
      <w:r w:rsidRPr="1B174BA5">
        <w:t>Not applicable.</w:t>
      </w:r>
    </w:p>
    <w:p w14:paraId="4430AC5C" w14:textId="00CBB05D" w:rsidR="0040125A" w:rsidRPr="00533F93" w:rsidRDefault="00D03558" w:rsidP="00C23C64">
      <w:pPr>
        <w:pStyle w:val="Heading4"/>
        <w:rPr>
          <w:rFonts w:cstheme="minorHAnsi"/>
        </w:rPr>
      </w:pPr>
      <w:r w:rsidRPr="00533F93">
        <w:rPr>
          <w:rFonts w:cstheme="minorHAnsi"/>
        </w:rPr>
        <w:t>2</w:t>
      </w:r>
      <w:r w:rsidR="0040125A" w:rsidRPr="00533F93">
        <w:rPr>
          <w:rFonts w:cstheme="minorHAnsi"/>
        </w:rPr>
        <w:t>.2</w:t>
      </w:r>
      <w:r w:rsidR="0040125A" w:rsidRPr="00533F93">
        <w:rPr>
          <w:rFonts w:cstheme="minorHAnsi"/>
        </w:rPr>
        <w:tab/>
        <w:t xml:space="preserve">If this is an electronic clinical quality measure (eCQM) </w:t>
      </w:r>
    </w:p>
    <w:p w14:paraId="71EBC21E" w14:textId="10BD1805" w:rsidR="00D65C9E" w:rsidRPr="00346072" w:rsidRDefault="33092738" w:rsidP="2CB3E62B">
      <w:pPr>
        <w:pStyle w:val="BlueprintText"/>
      </w:pPr>
      <w:r w:rsidRPr="00346072">
        <w:t>This is an eCQM and the MAT output is attached.</w:t>
      </w:r>
    </w:p>
    <w:p w14:paraId="431A90B4" w14:textId="2D10A08B" w:rsidR="0040125A" w:rsidRPr="00533F93" w:rsidRDefault="00D03558" w:rsidP="00C23C64">
      <w:pPr>
        <w:pStyle w:val="Heading4"/>
        <w:rPr>
          <w:rFonts w:cstheme="minorHAnsi"/>
          <w:i/>
          <w:iCs/>
        </w:rPr>
      </w:pPr>
      <w:r w:rsidRPr="1B174BA5">
        <w:t>2</w:t>
      </w:r>
      <w:r w:rsidR="0040125A" w:rsidRPr="1B174BA5">
        <w:t>.3</w:t>
      </w:r>
      <w:r>
        <w:tab/>
      </w:r>
      <w:r w:rsidR="0040125A" w:rsidRPr="1B174BA5">
        <w:t>Data Dictionary, Code Table, or Value Sets</w:t>
      </w:r>
      <w:r w:rsidR="0040125A" w:rsidRPr="1B174BA5">
        <w:rPr>
          <w:i/>
          <w:iCs/>
        </w:rPr>
        <w:t>.</w:t>
      </w:r>
    </w:p>
    <w:p w14:paraId="7AFC1386" w14:textId="32025C68" w:rsidR="0EDD5840" w:rsidRDefault="0EDD5840" w:rsidP="1B174BA5">
      <w:pPr>
        <w:pStyle w:val="BlueprintText"/>
      </w:pPr>
      <w:r>
        <w:t>Attached.</w:t>
      </w:r>
    </w:p>
    <w:p w14:paraId="1F914E85" w14:textId="294307F6" w:rsidR="0040125A" w:rsidRPr="00533F93" w:rsidRDefault="00D03558" w:rsidP="00C23C64">
      <w:pPr>
        <w:pStyle w:val="Heading4"/>
        <w:rPr>
          <w:rFonts w:cstheme="minorHAnsi"/>
        </w:rPr>
      </w:pPr>
      <w:r w:rsidRPr="00533F93">
        <w:rPr>
          <w:rFonts w:cstheme="minorHAnsi"/>
        </w:rPr>
        <w:t>2</w:t>
      </w:r>
      <w:r w:rsidR="0040125A" w:rsidRPr="00533F93">
        <w:rPr>
          <w:rFonts w:cstheme="minorHAnsi"/>
        </w:rPr>
        <w:t>.4</w:t>
      </w:r>
      <w:r w:rsidR="0040125A" w:rsidRPr="00533F93">
        <w:rPr>
          <w:rFonts w:cstheme="minorHAnsi"/>
        </w:rPr>
        <w:tab/>
        <w:t xml:space="preserve">For an instrument-based measure </w:t>
      </w:r>
    </w:p>
    <w:p w14:paraId="692F1EC1" w14:textId="67066C2D" w:rsidR="00D65C9E" w:rsidRPr="00533F93" w:rsidRDefault="78BCBBF8" w:rsidP="1B174BA5">
      <w:pPr>
        <w:pStyle w:val="BlueprintText"/>
      </w:pPr>
      <w:bookmarkStart w:id="2" w:name="_Hlk508592712"/>
      <w:r w:rsidRPr="1B174BA5">
        <w:t>Not applicable.</w:t>
      </w:r>
    </w:p>
    <w:p w14:paraId="3CF8124F" w14:textId="1FED2EF5" w:rsidR="0040125A" w:rsidRPr="00533F93" w:rsidRDefault="00D03558" w:rsidP="00C23C64">
      <w:pPr>
        <w:pStyle w:val="Heading4"/>
        <w:rPr>
          <w:rFonts w:cstheme="minorHAnsi"/>
        </w:rPr>
      </w:pPr>
      <w:r w:rsidRPr="00533F93">
        <w:rPr>
          <w:rFonts w:cstheme="minorHAnsi"/>
        </w:rPr>
        <w:t>2</w:t>
      </w:r>
      <w:r w:rsidR="0040125A" w:rsidRPr="00533F93">
        <w:rPr>
          <w:rFonts w:cstheme="minorHAnsi"/>
        </w:rPr>
        <w:t>.5</w:t>
      </w:r>
      <w:r w:rsidR="0040125A" w:rsidRPr="00533F93">
        <w:rPr>
          <w:rFonts w:cstheme="minorHAnsi"/>
        </w:rPr>
        <w:tab/>
        <w:t>Updates since last submission</w:t>
      </w:r>
      <w:bookmarkEnd w:id="2"/>
      <w:r w:rsidR="0040125A" w:rsidRPr="00533F93">
        <w:rPr>
          <w:rFonts w:cstheme="minorHAnsi"/>
        </w:rPr>
        <w:t xml:space="preserve"> </w:t>
      </w:r>
    </w:p>
    <w:p w14:paraId="364959DE" w14:textId="460E9D69" w:rsidR="00D65C9E" w:rsidRPr="00533F93" w:rsidRDefault="6EBD91AB" w:rsidP="1B174BA5">
      <w:pPr>
        <w:pStyle w:val="BlueprintText"/>
      </w:pPr>
      <w:r w:rsidRPr="1B174BA5">
        <w:t>Not applicable.</w:t>
      </w:r>
    </w:p>
    <w:p w14:paraId="183D8AFD" w14:textId="1805EC5D" w:rsidR="0040125A" w:rsidRPr="00533F93" w:rsidRDefault="00D03558" w:rsidP="00C23C64">
      <w:pPr>
        <w:pStyle w:val="Heading4"/>
        <w:rPr>
          <w:rFonts w:cstheme="minorHAnsi"/>
          <w:i/>
          <w:iCs/>
          <w:color w:val="4169E1"/>
        </w:rPr>
      </w:pPr>
      <w:r w:rsidRPr="00533F93">
        <w:rPr>
          <w:rFonts w:cstheme="minorHAnsi"/>
        </w:rPr>
        <w:t>2</w:t>
      </w:r>
      <w:r w:rsidR="0040125A" w:rsidRPr="00533F93">
        <w:rPr>
          <w:rFonts w:cstheme="minorHAnsi"/>
        </w:rPr>
        <w:t>.6</w:t>
      </w:r>
      <w:r w:rsidR="0040125A" w:rsidRPr="00533F93">
        <w:rPr>
          <w:rFonts w:cstheme="minorHAnsi"/>
        </w:rPr>
        <w:tab/>
        <w:t xml:space="preserve">Numerator Statement </w:t>
      </w:r>
    </w:p>
    <w:p w14:paraId="57127086" w14:textId="77777777" w:rsidR="003B2848" w:rsidRPr="00533F93" w:rsidRDefault="003B2848" w:rsidP="003B2848">
      <w:pPr>
        <w:rPr>
          <w:rFonts w:cstheme="minorHAnsi"/>
        </w:rPr>
      </w:pPr>
      <w:r w:rsidRPr="00533F93">
        <w:rPr>
          <w:rFonts w:cstheme="minorHAnsi"/>
        </w:rPr>
        <w:t>The numerator is comprised of any ED visit in the denominator with any quality gap in access; if the patient experiences any of the following during a visit, the visit is included in the numerator:</w:t>
      </w:r>
    </w:p>
    <w:p w14:paraId="7973AB07" w14:textId="77777777" w:rsidR="003B2848" w:rsidRPr="00533F93" w:rsidRDefault="003B2848" w:rsidP="007926AF">
      <w:pPr>
        <w:pStyle w:val="ListParagraph"/>
        <w:numPr>
          <w:ilvl w:val="0"/>
          <w:numId w:val="4"/>
        </w:numPr>
        <w:spacing w:after="160" w:line="259" w:lineRule="auto"/>
        <w:contextualSpacing/>
        <w:rPr>
          <w:rFonts w:asciiTheme="minorHAnsi" w:hAnsiTheme="minorHAnsi" w:cstheme="minorHAnsi"/>
        </w:rPr>
      </w:pPr>
      <w:bookmarkStart w:id="3" w:name="_Hlk150441080"/>
      <w:r w:rsidRPr="00533F93">
        <w:rPr>
          <w:rFonts w:asciiTheme="minorHAnsi" w:hAnsiTheme="minorHAnsi" w:cstheme="minorHAnsi"/>
        </w:rPr>
        <w:t xml:space="preserve">The patient waited longer than </w:t>
      </w:r>
      <w:r w:rsidRPr="00533F93">
        <w:rPr>
          <w:rFonts w:asciiTheme="minorHAnsi" w:hAnsiTheme="minorHAnsi" w:cstheme="minorHAnsi"/>
          <w:b/>
          <w:bCs/>
        </w:rPr>
        <w:t>1 hour</w:t>
      </w:r>
      <w:r w:rsidRPr="00533F93">
        <w:rPr>
          <w:rFonts w:asciiTheme="minorHAnsi" w:hAnsiTheme="minorHAnsi" w:cstheme="minorHAnsi"/>
        </w:rPr>
        <w:t xml:space="preserve"> to be placed in a treatment room or dedicated treatment area that allows for audiovisual privacy during history-taking and physical examination; or</w:t>
      </w:r>
    </w:p>
    <w:p w14:paraId="65753064" w14:textId="77777777" w:rsidR="003B2848" w:rsidRPr="00533F93" w:rsidRDefault="003B2848" w:rsidP="007926AF">
      <w:pPr>
        <w:pStyle w:val="ListParagraph"/>
        <w:numPr>
          <w:ilvl w:val="0"/>
          <w:numId w:val="4"/>
        </w:numPr>
        <w:spacing w:after="160" w:line="259" w:lineRule="auto"/>
        <w:contextualSpacing/>
        <w:rPr>
          <w:rFonts w:asciiTheme="minorHAnsi" w:hAnsiTheme="minorHAnsi" w:cstheme="minorHAnsi"/>
        </w:rPr>
      </w:pPr>
      <w:r w:rsidRPr="00533F93">
        <w:rPr>
          <w:rFonts w:asciiTheme="minorHAnsi" w:hAnsiTheme="minorHAnsi" w:cstheme="minorHAnsi"/>
        </w:rPr>
        <w:t>The patient left the ED without being evaluated by a physician/advanced practice nurse/physician’s assistant, or</w:t>
      </w:r>
    </w:p>
    <w:p w14:paraId="5BCE481D" w14:textId="77777777" w:rsidR="003B2848" w:rsidRPr="00533F93" w:rsidRDefault="003B2848" w:rsidP="007926AF">
      <w:pPr>
        <w:pStyle w:val="ListParagraph"/>
        <w:numPr>
          <w:ilvl w:val="0"/>
          <w:numId w:val="4"/>
        </w:numPr>
        <w:spacing w:after="160" w:line="259" w:lineRule="auto"/>
        <w:contextualSpacing/>
        <w:rPr>
          <w:rFonts w:asciiTheme="minorHAnsi" w:hAnsiTheme="minorHAnsi" w:cstheme="minorHAnsi"/>
          <w:i/>
        </w:rPr>
      </w:pPr>
      <w:r w:rsidRPr="00533F93">
        <w:rPr>
          <w:rFonts w:asciiTheme="minorHAnsi" w:hAnsiTheme="minorHAnsi" w:cstheme="minorHAnsi"/>
        </w:rPr>
        <w:t xml:space="preserve">The patient boarded (time from Decision to Admit (order) to ED departure for admitted patients) in the ED for longer than </w:t>
      </w:r>
      <w:r w:rsidRPr="00533F93">
        <w:rPr>
          <w:rFonts w:asciiTheme="minorHAnsi" w:hAnsiTheme="minorHAnsi" w:cstheme="minorHAnsi"/>
          <w:b/>
          <w:bCs/>
        </w:rPr>
        <w:t>4 hours</w:t>
      </w:r>
      <w:r w:rsidRPr="00533F93">
        <w:rPr>
          <w:rFonts w:asciiTheme="minorHAnsi" w:hAnsiTheme="minorHAnsi" w:cstheme="minorHAnsi"/>
        </w:rPr>
        <w:t>, or</w:t>
      </w:r>
    </w:p>
    <w:p w14:paraId="6EA9F0B6" w14:textId="7DC85C59" w:rsidR="003B2848" w:rsidRPr="00533F93" w:rsidRDefault="003B2848" w:rsidP="007926AF">
      <w:pPr>
        <w:pStyle w:val="ListParagraph"/>
        <w:numPr>
          <w:ilvl w:val="0"/>
          <w:numId w:val="4"/>
        </w:numPr>
        <w:spacing w:after="160" w:line="259" w:lineRule="auto"/>
        <w:contextualSpacing/>
        <w:rPr>
          <w:rFonts w:asciiTheme="minorHAnsi" w:hAnsiTheme="minorHAnsi" w:cstheme="minorHAnsi"/>
        </w:rPr>
      </w:pPr>
      <w:r w:rsidRPr="00533F93">
        <w:rPr>
          <w:rFonts w:asciiTheme="minorHAnsi" w:hAnsiTheme="minorHAnsi" w:cstheme="minorHAnsi"/>
        </w:rPr>
        <w:t xml:space="preserve">The patient had an ED length of stay (LOS) (time from ED arrival to ED physical departure as defined by the ED depart timestamp) of longer than </w:t>
      </w:r>
      <w:r w:rsidRPr="00533F93">
        <w:rPr>
          <w:rFonts w:asciiTheme="minorHAnsi" w:hAnsiTheme="minorHAnsi" w:cstheme="minorHAnsi"/>
          <w:b/>
          <w:bCs/>
        </w:rPr>
        <w:t>8 hours</w:t>
      </w:r>
      <w:r w:rsidRPr="00533F93">
        <w:rPr>
          <w:rFonts w:asciiTheme="minorHAnsi" w:hAnsiTheme="minorHAnsi" w:cstheme="minorHAnsi"/>
        </w:rPr>
        <w:t>.</w:t>
      </w:r>
      <w:bookmarkEnd w:id="3"/>
    </w:p>
    <w:p w14:paraId="1C8D4C7A" w14:textId="2BCF8798" w:rsidR="0040125A" w:rsidRPr="00533F93" w:rsidRDefault="00D03558" w:rsidP="00C23C64">
      <w:pPr>
        <w:pStyle w:val="Heading4"/>
        <w:rPr>
          <w:rFonts w:cstheme="minorHAnsi"/>
        </w:rPr>
      </w:pPr>
      <w:r w:rsidRPr="00533F93">
        <w:rPr>
          <w:rFonts w:cstheme="minorHAnsi"/>
        </w:rPr>
        <w:t>2</w:t>
      </w:r>
      <w:r w:rsidR="0040125A" w:rsidRPr="00533F93">
        <w:rPr>
          <w:rFonts w:cstheme="minorHAnsi"/>
        </w:rPr>
        <w:t>.7</w:t>
      </w:r>
      <w:r w:rsidR="0040125A" w:rsidRPr="00533F93">
        <w:rPr>
          <w:rFonts w:cstheme="minorHAnsi"/>
        </w:rPr>
        <w:tab/>
        <w:t xml:space="preserve">Numerator Details </w:t>
      </w:r>
    </w:p>
    <w:p w14:paraId="0B3B144F" w14:textId="2911FE0D" w:rsidR="009F0398" w:rsidRPr="00533F93" w:rsidRDefault="003B2848" w:rsidP="003B2848">
      <w:pPr>
        <w:pStyle w:val="BlueprintText"/>
        <w:rPr>
          <w:rFonts w:cstheme="minorHAnsi"/>
          <w:highlight w:val="yellow"/>
        </w:rPr>
      </w:pPr>
      <w:r w:rsidRPr="00533F93">
        <w:rPr>
          <w:rFonts w:cstheme="minorHAnsi"/>
        </w:rPr>
        <w:t>No additional details.</w:t>
      </w:r>
    </w:p>
    <w:p w14:paraId="2C363F74" w14:textId="49229CE1" w:rsidR="0040125A" w:rsidRPr="00533F93" w:rsidRDefault="00D03558" w:rsidP="00C23C64">
      <w:pPr>
        <w:pStyle w:val="Heading4"/>
        <w:rPr>
          <w:rFonts w:cstheme="minorHAnsi"/>
        </w:rPr>
      </w:pPr>
      <w:r w:rsidRPr="00533F93">
        <w:rPr>
          <w:rFonts w:cstheme="minorHAnsi"/>
        </w:rPr>
        <w:t>2</w:t>
      </w:r>
      <w:r w:rsidR="0040125A" w:rsidRPr="00533F93">
        <w:rPr>
          <w:rFonts w:cstheme="minorHAnsi"/>
        </w:rPr>
        <w:t>.8</w:t>
      </w:r>
      <w:r w:rsidR="0040125A" w:rsidRPr="00533F93">
        <w:rPr>
          <w:rFonts w:cstheme="minorHAnsi"/>
        </w:rPr>
        <w:tab/>
        <w:t xml:space="preserve">Denominator Statement </w:t>
      </w:r>
    </w:p>
    <w:p w14:paraId="2D0DEC9B" w14:textId="77777777" w:rsidR="003B2848" w:rsidRPr="00533F93" w:rsidRDefault="003B2848" w:rsidP="003B2848">
      <w:pPr>
        <w:rPr>
          <w:rFonts w:cstheme="minorHAnsi"/>
        </w:rPr>
      </w:pPr>
      <w:r w:rsidRPr="00533F93">
        <w:rPr>
          <w:rFonts w:cstheme="minorHAnsi"/>
        </w:rPr>
        <w:t xml:space="preserve">Includes all ED visits associated with patients of all ages, for all-payers, during the performance period. Patients can have multiple visits during a performance period; each visit is eligible to contribute to the outcome. </w:t>
      </w:r>
    </w:p>
    <w:p w14:paraId="2F58A3DD" w14:textId="48C40473" w:rsidR="0040125A" w:rsidRPr="00533F93" w:rsidRDefault="00D03558" w:rsidP="00C23C64">
      <w:pPr>
        <w:pStyle w:val="Heading4"/>
        <w:rPr>
          <w:rFonts w:cstheme="minorHAnsi"/>
          <w:i/>
          <w:iCs/>
          <w:color w:val="4169E1"/>
        </w:rPr>
      </w:pPr>
      <w:r w:rsidRPr="00533F93">
        <w:rPr>
          <w:rFonts w:cstheme="minorHAnsi"/>
        </w:rPr>
        <w:t>2</w:t>
      </w:r>
      <w:r w:rsidR="0040125A" w:rsidRPr="00533F93">
        <w:rPr>
          <w:rFonts w:cstheme="minorHAnsi"/>
        </w:rPr>
        <w:t>.9</w:t>
      </w:r>
      <w:r w:rsidR="0040125A" w:rsidRPr="00533F93">
        <w:rPr>
          <w:rFonts w:cstheme="minorHAnsi"/>
        </w:rPr>
        <w:tab/>
        <w:t xml:space="preserve">Denominator Details </w:t>
      </w:r>
    </w:p>
    <w:p w14:paraId="621A5D32" w14:textId="0ED5545C" w:rsidR="00CC21A8" w:rsidRPr="00533F93" w:rsidRDefault="003B2848" w:rsidP="00C05106">
      <w:pPr>
        <w:rPr>
          <w:rFonts w:cstheme="minorHAnsi"/>
        </w:rPr>
      </w:pPr>
      <w:r w:rsidRPr="00533F93">
        <w:rPr>
          <w:rFonts w:cstheme="minorHAnsi"/>
        </w:rPr>
        <w:t>No additional details.</w:t>
      </w:r>
    </w:p>
    <w:p w14:paraId="09CC95C7" w14:textId="34454FFD" w:rsidR="0040125A" w:rsidRPr="00533F93" w:rsidRDefault="00D03558" w:rsidP="00C23C64">
      <w:pPr>
        <w:pStyle w:val="Heading4"/>
        <w:rPr>
          <w:rFonts w:cstheme="minorHAnsi"/>
          <w:i/>
          <w:iCs/>
        </w:rPr>
      </w:pPr>
      <w:r w:rsidRPr="00533F93">
        <w:rPr>
          <w:rFonts w:cstheme="minorHAnsi"/>
        </w:rPr>
        <w:t>2</w:t>
      </w:r>
      <w:r w:rsidR="0040125A" w:rsidRPr="00533F93">
        <w:rPr>
          <w:rFonts w:cstheme="minorHAnsi"/>
        </w:rPr>
        <w:t>.10</w:t>
      </w:r>
      <w:r w:rsidR="0040125A" w:rsidRPr="00533F93">
        <w:rPr>
          <w:rFonts w:cstheme="minorHAnsi"/>
        </w:rPr>
        <w:tab/>
        <w:t xml:space="preserve">Denominator Exclusions </w:t>
      </w:r>
    </w:p>
    <w:p w14:paraId="2AC7579E" w14:textId="77777777" w:rsidR="003B2848" w:rsidRPr="00533F93" w:rsidRDefault="003B2848" w:rsidP="003B2848">
      <w:pPr>
        <w:rPr>
          <w:rFonts w:cstheme="minorHAnsi"/>
        </w:rPr>
      </w:pPr>
      <w:r w:rsidRPr="00533F93">
        <w:rPr>
          <w:rFonts w:cstheme="minorHAnsi"/>
        </w:rPr>
        <w:t>This measure has no denominator exclusions.</w:t>
      </w:r>
    </w:p>
    <w:p w14:paraId="79EB93A3" w14:textId="423EE872" w:rsidR="0040125A" w:rsidRPr="00533F93" w:rsidRDefault="00D03558" w:rsidP="00C23C64">
      <w:pPr>
        <w:pStyle w:val="Heading4"/>
        <w:rPr>
          <w:rFonts w:cstheme="minorHAnsi"/>
          <w:i/>
          <w:iCs/>
        </w:rPr>
      </w:pPr>
      <w:r w:rsidRPr="00533F93">
        <w:rPr>
          <w:rFonts w:cstheme="minorHAnsi"/>
        </w:rPr>
        <w:lastRenderedPageBreak/>
        <w:t>2</w:t>
      </w:r>
      <w:r w:rsidR="0040125A" w:rsidRPr="00533F93">
        <w:rPr>
          <w:rFonts w:cstheme="minorHAnsi"/>
        </w:rPr>
        <w:t>.11</w:t>
      </w:r>
      <w:r w:rsidR="0040125A" w:rsidRPr="00533F93">
        <w:rPr>
          <w:rFonts w:cstheme="minorHAnsi"/>
        </w:rPr>
        <w:tab/>
        <w:t xml:space="preserve">Denominator Exclusion Details </w:t>
      </w:r>
    </w:p>
    <w:p w14:paraId="5B3EEB96" w14:textId="1A213CCE" w:rsidR="00A468E1" w:rsidRPr="00533F93" w:rsidRDefault="34488FEF" w:rsidP="1B174BA5">
      <w:pPr>
        <w:pStyle w:val="BlueprintText"/>
      </w:pPr>
      <w:r w:rsidRPr="1B174BA5">
        <w:t>Not applicable.</w:t>
      </w:r>
    </w:p>
    <w:p w14:paraId="6B869653" w14:textId="35E2DCD7" w:rsidR="004C711D" w:rsidRPr="00533F93" w:rsidRDefault="004C711D" w:rsidP="00C23C64">
      <w:pPr>
        <w:pStyle w:val="Heading4"/>
        <w:rPr>
          <w:rFonts w:cstheme="minorHAnsi"/>
        </w:rPr>
      </w:pPr>
      <w:r w:rsidRPr="00533F93">
        <w:rPr>
          <w:rFonts w:cstheme="minorHAnsi"/>
        </w:rPr>
        <w:t>2.12</w:t>
      </w:r>
      <w:r w:rsidRPr="00533F93">
        <w:rPr>
          <w:rFonts w:cstheme="minorHAnsi"/>
        </w:rPr>
        <w:tab/>
        <w:t xml:space="preserve">Type of Score </w:t>
      </w:r>
    </w:p>
    <w:p w14:paraId="2541E990" w14:textId="77777777" w:rsidR="004C711D" w:rsidRPr="00533F93" w:rsidRDefault="004C711D" w:rsidP="004C711D">
      <w:pPr>
        <w:pStyle w:val="ListBullet"/>
        <w:numPr>
          <w:ilvl w:val="0"/>
          <w:numId w:val="0"/>
        </w:numPr>
        <w:ind w:left="360"/>
        <w:rPr>
          <w:rFonts w:cstheme="minorHAnsi"/>
        </w:rPr>
      </w:pPr>
      <w:r w:rsidRPr="00533F93">
        <w:rPr>
          <w:rFonts w:ascii="Segoe UI Symbol" w:eastAsia="MS Gothic" w:hAnsi="Segoe UI Symbol" w:cs="Segoe UI Symbol"/>
        </w:rPr>
        <w:t>☐</w:t>
      </w:r>
      <w:r w:rsidRPr="00533F93">
        <w:rPr>
          <w:rFonts w:cstheme="minorHAnsi"/>
        </w:rPr>
        <w:t>count</w:t>
      </w:r>
    </w:p>
    <w:p w14:paraId="6CA9F314" w14:textId="7E238A2A" w:rsidR="004C711D" w:rsidRPr="00533F93" w:rsidRDefault="00D95B04" w:rsidP="004C711D">
      <w:pPr>
        <w:pStyle w:val="ListBullet"/>
        <w:numPr>
          <w:ilvl w:val="0"/>
          <w:numId w:val="0"/>
        </w:numPr>
        <w:ind w:left="360"/>
        <w:rPr>
          <w:rFonts w:cstheme="minorHAnsi"/>
          <w:b/>
          <w:bCs/>
        </w:rPr>
      </w:pPr>
      <w:sdt>
        <w:sdtPr>
          <w:rPr>
            <w:rFonts w:eastAsia="MS Gothic" w:cstheme="minorHAnsi"/>
            <w:b/>
            <w:bCs/>
          </w:rPr>
          <w:id w:val="-1432118117"/>
          <w14:checkbox>
            <w14:checked w14:val="1"/>
            <w14:checkedState w14:val="2612" w14:font="MS Gothic"/>
            <w14:uncheckedState w14:val="2610" w14:font="MS Gothic"/>
          </w14:checkbox>
        </w:sdtPr>
        <w:sdtEndPr/>
        <w:sdtContent>
          <w:r w:rsidR="004665E6" w:rsidRPr="00533F93">
            <w:rPr>
              <w:rFonts w:ascii="Segoe UI Symbol" w:eastAsia="MS Gothic" w:hAnsi="Segoe UI Symbol" w:cs="Segoe UI Symbol"/>
              <w:b/>
              <w:bCs/>
            </w:rPr>
            <w:t>☒</w:t>
          </w:r>
        </w:sdtContent>
      </w:sdt>
      <w:r w:rsidR="004C711D" w:rsidRPr="00533F93">
        <w:rPr>
          <w:rFonts w:cstheme="minorHAnsi"/>
          <w:b/>
          <w:bCs/>
        </w:rPr>
        <w:t>rate/proportion</w:t>
      </w:r>
    </w:p>
    <w:p w14:paraId="4EDF4831" w14:textId="77777777" w:rsidR="004C711D" w:rsidRPr="00533F93" w:rsidRDefault="004C711D" w:rsidP="004C711D">
      <w:pPr>
        <w:pStyle w:val="ListBullet"/>
        <w:numPr>
          <w:ilvl w:val="0"/>
          <w:numId w:val="0"/>
        </w:numPr>
        <w:ind w:left="360"/>
        <w:rPr>
          <w:rFonts w:cstheme="minorHAnsi"/>
        </w:rPr>
      </w:pPr>
      <w:r w:rsidRPr="00533F93">
        <w:rPr>
          <w:rFonts w:ascii="Segoe UI Symbol" w:eastAsia="MS Gothic" w:hAnsi="Segoe UI Symbol" w:cs="Segoe UI Symbol"/>
        </w:rPr>
        <w:t>☐</w:t>
      </w:r>
      <w:r w:rsidRPr="00533F93">
        <w:rPr>
          <w:rFonts w:cstheme="minorHAnsi"/>
        </w:rPr>
        <w:t>ratio</w:t>
      </w:r>
    </w:p>
    <w:p w14:paraId="66E15870" w14:textId="77777777" w:rsidR="004C711D" w:rsidRPr="00533F93" w:rsidRDefault="004C711D" w:rsidP="004C711D">
      <w:pPr>
        <w:pStyle w:val="ListBullet"/>
        <w:numPr>
          <w:ilvl w:val="0"/>
          <w:numId w:val="0"/>
        </w:numPr>
        <w:spacing w:after="0"/>
        <w:ind w:left="360"/>
        <w:rPr>
          <w:rFonts w:cstheme="minorHAnsi"/>
        </w:rPr>
      </w:pPr>
      <w:r w:rsidRPr="00533F93">
        <w:rPr>
          <w:rFonts w:ascii="Segoe UI Symbol" w:eastAsia="MS Gothic" w:hAnsi="Segoe UI Symbol" w:cs="Segoe UI Symbol"/>
        </w:rPr>
        <w:t>☐</w:t>
      </w:r>
      <w:r w:rsidRPr="00533F93">
        <w:rPr>
          <w:rFonts w:cstheme="minorHAnsi"/>
        </w:rPr>
        <w:t>categorical (e.g., yes or no)</w:t>
      </w:r>
    </w:p>
    <w:p w14:paraId="6E0ABC51" w14:textId="77777777" w:rsidR="004C711D" w:rsidRPr="00533F93" w:rsidRDefault="004C711D" w:rsidP="004C711D">
      <w:pPr>
        <w:pStyle w:val="ListBullet"/>
        <w:numPr>
          <w:ilvl w:val="0"/>
          <w:numId w:val="0"/>
        </w:numPr>
        <w:spacing w:after="0"/>
        <w:ind w:left="360"/>
        <w:rPr>
          <w:rFonts w:cstheme="minorHAnsi"/>
        </w:rPr>
      </w:pPr>
      <w:r w:rsidRPr="00533F93">
        <w:rPr>
          <w:rFonts w:ascii="Segoe UI Symbol" w:eastAsia="MS Gothic" w:hAnsi="Segoe UI Symbol" w:cs="Segoe UI Symbol"/>
        </w:rPr>
        <w:t>☐</w:t>
      </w:r>
      <w:r w:rsidRPr="00533F93">
        <w:rPr>
          <w:rFonts w:cstheme="minorHAnsi"/>
        </w:rPr>
        <w:t>continuous variable (CV</w:t>
      </w:r>
      <w:r w:rsidRPr="00533F93">
        <w:rPr>
          <w:rStyle w:val="Hyperlink"/>
          <w:rFonts w:cstheme="minorHAnsi"/>
          <w:color w:val="auto"/>
          <w:u w:val="none"/>
        </w:rPr>
        <w:t>)</w:t>
      </w:r>
      <w:r w:rsidRPr="00533F93">
        <w:rPr>
          <w:rFonts w:cstheme="minorHAnsi"/>
        </w:rPr>
        <w:t xml:space="preserve"> (e.g., an average)</w:t>
      </w:r>
    </w:p>
    <w:p w14:paraId="2CE76464" w14:textId="77777777" w:rsidR="004C711D" w:rsidRPr="00533F93" w:rsidRDefault="004C711D" w:rsidP="004C711D">
      <w:pPr>
        <w:pStyle w:val="ListBullet"/>
        <w:numPr>
          <w:ilvl w:val="0"/>
          <w:numId w:val="0"/>
        </w:numPr>
        <w:ind w:left="360"/>
        <w:rPr>
          <w:rFonts w:cstheme="minorHAnsi"/>
        </w:rPr>
      </w:pPr>
      <w:r w:rsidRPr="00533F93">
        <w:rPr>
          <w:rFonts w:ascii="Segoe UI Symbol" w:eastAsia="MS Gothic" w:hAnsi="Segoe UI Symbol" w:cs="Segoe UI Symbol"/>
        </w:rPr>
        <w:t>☐</w:t>
      </w:r>
      <w:r w:rsidRPr="00533F93">
        <w:rPr>
          <w:rFonts w:cstheme="minorHAnsi"/>
        </w:rPr>
        <w:t>composite/scale</w:t>
      </w:r>
    </w:p>
    <w:p w14:paraId="440318A2" w14:textId="63E250EA" w:rsidR="004C711D" w:rsidRPr="00533F93" w:rsidRDefault="004C711D" w:rsidP="004C711D">
      <w:pPr>
        <w:pStyle w:val="ListBullet"/>
        <w:numPr>
          <w:ilvl w:val="0"/>
          <w:numId w:val="0"/>
        </w:numPr>
        <w:ind w:left="360"/>
        <w:rPr>
          <w:rFonts w:cstheme="minorHAnsi"/>
        </w:rPr>
      </w:pPr>
      <w:r w:rsidRPr="00533F93">
        <w:rPr>
          <w:rFonts w:ascii="Segoe UI Symbol" w:eastAsia="MS Gothic" w:hAnsi="Segoe UI Symbol" w:cs="Segoe UI Symbol"/>
        </w:rPr>
        <w:t>☐</w:t>
      </w:r>
      <w:r w:rsidRPr="00533F93">
        <w:rPr>
          <w:rFonts w:cstheme="minorHAnsi"/>
        </w:rPr>
        <w:t>other (specify)</w:t>
      </w:r>
      <w:r w:rsidRPr="00533F93">
        <w:rPr>
          <w:rStyle w:val="BlackUnderline"/>
          <w:rFonts w:cstheme="minorHAnsi"/>
        </w:rPr>
        <w:t xml:space="preserve"> </w:t>
      </w:r>
      <w:sdt>
        <w:sdtPr>
          <w:rPr>
            <w:rStyle w:val="BlackUnderline"/>
            <w:rFonts w:cstheme="minorHAnsi"/>
          </w:rPr>
          <w:id w:val="1578235626"/>
          <w:placeholder>
            <w:docPart w:val="C33B492E53C04BA081473A274E1D5246"/>
          </w:placeholder>
          <w:text/>
        </w:sdtPr>
        <w:sdtEndPr>
          <w:rPr>
            <w:rStyle w:val="DefaultParagraphFont"/>
            <w:color w:val="FFFFFF"/>
            <w:u w:val="none"/>
          </w:rPr>
        </w:sdtEndPr>
        <w:sdtContent>
          <w:r w:rsidR="00637276" w:rsidRPr="00533F93">
            <w:rPr>
              <w:rStyle w:val="BlackUnderline"/>
              <w:rFonts w:cstheme="minorHAnsi"/>
            </w:rPr>
            <w:t>To be determined</w:t>
          </w:r>
        </w:sdtContent>
      </w:sdt>
    </w:p>
    <w:p w14:paraId="45D4E38E" w14:textId="11E9FB7F" w:rsidR="004C711D" w:rsidRPr="00533F93" w:rsidRDefault="004C711D" w:rsidP="00C23C64">
      <w:pPr>
        <w:pStyle w:val="Heading4"/>
        <w:rPr>
          <w:rFonts w:cstheme="minorHAnsi"/>
          <w:i/>
          <w:iCs/>
        </w:rPr>
      </w:pPr>
      <w:r w:rsidRPr="00533F93">
        <w:rPr>
          <w:rFonts w:cstheme="minorHAnsi"/>
        </w:rPr>
        <w:t>2.13</w:t>
      </w:r>
      <w:r w:rsidRPr="00533F93">
        <w:rPr>
          <w:rFonts w:cstheme="minorHAnsi"/>
        </w:rPr>
        <w:tab/>
        <w:t xml:space="preserve">Interpretation of Score </w:t>
      </w:r>
    </w:p>
    <w:p w14:paraId="281D3D98" w14:textId="2544DEA3" w:rsidR="004C711D" w:rsidRPr="00533F93" w:rsidRDefault="003B2848" w:rsidP="2CB3E62B">
      <w:pPr>
        <w:pStyle w:val="BlueprintText"/>
      </w:pPr>
      <w:r w:rsidRPr="2CB3E62B">
        <w:t>A higher score means worse performance</w:t>
      </w:r>
      <w:r w:rsidR="007E716E" w:rsidRPr="2CB3E62B">
        <w:t>.</w:t>
      </w:r>
    </w:p>
    <w:p w14:paraId="593B54CA" w14:textId="56CBFCE9" w:rsidR="0040125A" w:rsidRPr="00533F93" w:rsidRDefault="00D03558" w:rsidP="00C23C64">
      <w:pPr>
        <w:pStyle w:val="Heading4"/>
        <w:rPr>
          <w:rFonts w:cstheme="minorHAnsi"/>
          <w:i/>
          <w:iCs/>
        </w:rPr>
      </w:pPr>
      <w:r w:rsidRPr="00533F93">
        <w:rPr>
          <w:rFonts w:cstheme="minorHAnsi"/>
        </w:rPr>
        <w:t>2</w:t>
      </w:r>
      <w:r w:rsidR="0040125A" w:rsidRPr="00533F93">
        <w:rPr>
          <w:rFonts w:cstheme="minorHAnsi"/>
        </w:rPr>
        <w:t>.1</w:t>
      </w:r>
      <w:r w:rsidR="004C711D" w:rsidRPr="00533F93">
        <w:rPr>
          <w:rFonts w:cstheme="minorHAnsi"/>
        </w:rPr>
        <w:t>4</w:t>
      </w:r>
      <w:r w:rsidR="0040125A" w:rsidRPr="00533F93">
        <w:rPr>
          <w:rFonts w:cstheme="minorHAnsi"/>
        </w:rPr>
        <w:tab/>
        <w:t xml:space="preserve">Risk Adjustment Type </w:t>
      </w:r>
    </w:p>
    <w:p w14:paraId="68FB32FD" w14:textId="141D803E" w:rsidR="0040125A" w:rsidRPr="001C49B1" w:rsidRDefault="00D95B04" w:rsidP="0040125A">
      <w:pPr>
        <w:pStyle w:val="ListBullet"/>
        <w:numPr>
          <w:ilvl w:val="0"/>
          <w:numId w:val="0"/>
        </w:numPr>
        <w:ind w:left="360"/>
        <w:rPr>
          <w:rFonts w:cstheme="minorHAnsi"/>
        </w:rPr>
      </w:pPr>
      <w:sdt>
        <w:sdtPr>
          <w:rPr>
            <w:rFonts w:eastAsia="MS Gothic" w:cstheme="minorHAnsi"/>
          </w:rPr>
          <w:id w:val="-700404318"/>
          <w14:checkbox>
            <w14:checked w14:val="0"/>
            <w14:checkedState w14:val="2612" w14:font="MS Gothic"/>
            <w14:uncheckedState w14:val="2610" w14:font="MS Gothic"/>
          </w14:checkbox>
        </w:sdtPr>
        <w:sdtEndPr/>
        <w:sdtContent>
          <w:r w:rsidR="001C49B1" w:rsidRPr="001C49B1">
            <w:rPr>
              <w:rFonts w:ascii="MS Gothic" w:eastAsia="MS Gothic" w:hAnsi="MS Gothic" w:cstheme="minorHAnsi" w:hint="eastAsia"/>
            </w:rPr>
            <w:t>☐</w:t>
          </w:r>
        </w:sdtContent>
      </w:sdt>
      <w:r w:rsidR="0040125A" w:rsidRPr="001C49B1">
        <w:rPr>
          <w:rFonts w:cstheme="minorHAnsi"/>
        </w:rPr>
        <w:t>no risk adjustment or risk stratification</w:t>
      </w:r>
    </w:p>
    <w:p w14:paraId="07E0074E" w14:textId="3419B5C1" w:rsidR="0040125A" w:rsidRPr="001C49B1" w:rsidRDefault="00D95B04" w:rsidP="0040125A">
      <w:pPr>
        <w:pStyle w:val="ListBullet"/>
        <w:numPr>
          <w:ilvl w:val="0"/>
          <w:numId w:val="0"/>
        </w:numPr>
        <w:ind w:left="360"/>
        <w:rPr>
          <w:rFonts w:cstheme="minorHAnsi"/>
          <w:b/>
          <w:bCs/>
        </w:rPr>
      </w:pPr>
      <w:sdt>
        <w:sdtPr>
          <w:rPr>
            <w:rFonts w:eastAsia="MS Gothic" w:cstheme="minorHAnsi"/>
            <w:b/>
            <w:bCs/>
          </w:rPr>
          <w:id w:val="-2133622894"/>
          <w14:checkbox>
            <w14:checked w14:val="1"/>
            <w14:checkedState w14:val="2612" w14:font="MS Gothic"/>
            <w14:uncheckedState w14:val="2610" w14:font="MS Gothic"/>
          </w14:checkbox>
        </w:sdtPr>
        <w:sdtEndPr/>
        <w:sdtContent>
          <w:r w:rsidR="001C49B1" w:rsidRPr="001C49B1">
            <w:rPr>
              <w:rFonts w:ascii="MS Gothic" w:eastAsia="MS Gothic" w:hAnsi="MS Gothic" w:cstheme="minorHAnsi" w:hint="eastAsia"/>
              <w:b/>
              <w:bCs/>
            </w:rPr>
            <w:t>☒</w:t>
          </w:r>
        </w:sdtContent>
      </w:sdt>
      <w:r w:rsidR="001C49B1" w:rsidRPr="001C49B1">
        <w:rPr>
          <w:rFonts w:cstheme="minorHAnsi"/>
          <w:b/>
          <w:bCs/>
        </w:rPr>
        <w:t xml:space="preserve"> </w:t>
      </w:r>
      <w:r w:rsidR="0040125A" w:rsidRPr="001C49B1">
        <w:rPr>
          <w:rFonts w:cstheme="minorHAnsi"/>
          <w:b/>
          <w:bCs/>
        </w:rPr>
        <w:t>stratification by risk category/subgroup</w:t>
      </w:r>
    </w:p>
    <w:p w14:paraId="3884E453" w14:textId="77777777" w:rsidR="0040125A" w:rsidRPr="00533F93" w:rsidRDefault="0040125A" w:rsidP="0040125A">
      <w:pPr>
        <w:pStyle w:val="ListBullet"/>
        <w:numPr>
          <w:ilvl w:val="0"/>
          <w:numId w:val="0"/>
        </w:numPr>
        <w:ind w:left="360"/>
        <w:rPr>
          <w:rFonts w:cstheme="minorHAnsi"/>
        </w:rPr>
      </w:pPr>
      <w:r w:rsidRPr="00533F93">
        <w:rPr>
          <w:rFonts w:ascii="Segoe UI Symbol" w:eastAsia="MS Gothic" w:hAnsi="Segoe UI Symbol" w:cs="Segoe UI Symbol"/>
        </w:rPr>
        <w:t>☐</w:t>
      </w:r>
      <w:r w:rsidRPr="00533F93">
        <w:rPr>
          <w:rFonts w:cstheme="minorHAnsi"/>
        </w:rPr>
        <w:t>statistical risk model</w:t>
      </w:r>
    </w:p>
    <w:p w14:paraId="5D380557" w14:textId="77777777" w:rsidR="0040125A" w:rsidRPr="00533F93" w:rsidRDefault="0040125A" w:rsidP="0040125A">
      <w:pPr>
        <w:pStyle w:val="ListBullet"/>
        <w:numPr>
          <w:ilvl w:val="0"/>
          <w:numId w:val="0"/>
        </w:numPr>
        <w:ind w:left="360"/>
        <w:rPr>
          <w:rFonts w:cstheme="minorHAnsi"/>
        </w:rPr>
      </w:pPr>
      <w:r w:rsidRPr="00533F93">
        <w:rPr>
          <w:rFonts w:ascii="Segoe UI Symbol" w:eastAsia="MS Gothic" w:hAnsi="Segoe UI Symbol" w:cs="Segoe UI Symbol"/>
        </w:rPr>
        <w:t>☐</w:t>
      </w:r>
      <w:r w:rsidRPr="00533F93">
        <w:rPr>
          <w:rFonts w:cstheme="minorHAnsi"/>
        </w:rPr>
        <w:t xml:space="preserve">other </w:t>
      </w:r>
    </w:p>
    <w:p w14:paraId="4931B57E" w14:textId="2D81706C" w:rsidR="0040125A" w:rsidRPr="00533F93" w:rsidRDefault="00D03558" w:rsidP="00C23C64">
      <w:pPr>
        <w:pStyle w:val="Heading4"/>
      </w:pPr>
      <w:r w:rsidRPr="31A85FC8">
        <w:t>2</w:t>
      </w:r>
      <w:r w:rsidR="0040125A" w:rsidRPr="31A85FC8">
        <w:t>.1</w:t>
      </w:r>
      <w:r w:rsidR="004C711D" w:rsidRPr="31A85FC8">
        <w:t>5</w:t>
      </w:r>
      <w:r w:rsidR="0040125A">
        <w:tab/>
      </w:r>
      <w:r w:rsidR="0040125A" w:rsidRPr="31A85FC8">
        <w:t>Stratification Details/Variables</w:t>
      </w:r>
    </w:p>
    <w:p w14:paraId="3A697C4D" w14:textId="77777777" w:rsidR="00D42647" w:rsidRDefault="00D42647" w:rsidP="00D42647">
      <w:r>
        <w:t xml:space="preserve">The measure will utilize volume standardization to address differences in patient population between hospitals. Volume-standardization is harmonized with other existing measures and accommodates a “like to like” comparison among hospitals. Large volume EDs will always be compared to large volume EDs, while smaller volume EDs will always be compared to EDs of similar size. </w:t>
      </w:r>
    </w:p>
    <w:p w14:paraId="4E0D4A02" w14:textId="3DF77774" w:rsidR="00275BBD" w:rsidRDefault="00275BBD" w:rsidP="00D42647">
      <w:r>
        <w:t xml:space="preserve">The </w:t>
      </w:r>
      <w:r w:rsidR="0032261D">
        <w:t>measure will also be stratified by age and mental health visits.</w:t>
      </w:r>
    </w:p>
    <w:p w14:paraId="705F9B42" w14:textId="77777777" w:rsidR="0032261D" w:rsidRPr="0032261D" w:rsidRDefault="0032261D" w:rsidP="0032261D">
      <w:r w:rsidRPr="0032261D">
        <w:t>The principal diagnosis will be used to define strata inclusion; a history of mental health diagnoses will not automatically exclude or include patients in either stratum. For this measure's purpose, mental health diagnoses do not include substance use disorders.  </w:t>
      </w:r>
    </w:p>
    <w:p w14:paraId="11C19345" w14:textId="34DC32D9" w:rsidR="0032261D" w:rsidRDefault="0032261D" w:rsidP="00D42647">
      <w:r w:rsidRPr="0032261D">
        <w:t>Stratification by age will be reported for patients less than 18 years of age and patients 18 years of age and older, for both mental health and non-mental health cohorts. </w:t>
      </w:r>
    </w:p>
    <w:p w14:paraId="6760FD16" w14:textId="3CB9B6D5" w:rsidR="00485B5C" w:rsidRPr="001C49B1" w:rsidRDefault="00D03558" w:rsidP="001C49B1">
      <w:pPr>
        <w:pStyle w:val="Heading4"/>
        <w:rPr>
          <w:rFonts w:cstheme="minorHAnsi"/>
          <w:i/>
          <w:iCs/>
          <w:color w:val="4169E1"/>
        </w:rPr>
      </w:pPr>
      <w:r w:rsidRPr="00533F93">
        <w:rPr>
          <w:rFonts w:cstheme="minorHAnsi"/>
        </w:rPr>
        <w:t>2</w:t>
      </w:r>
      <w:r w:rsidR="0040125A" w:rsidRPr="00533F93">
        <w:rPr>
          <w:rFonts w:cstheme="minorHAnsi"/>
        </w:rPr>
        <w:t>.16</w:t>
      </w:r>
      <w:r w:rsidR="0040125A" w:rsidRPr="00533F93">
        <w:rPr>
          <w:rFonts w:cstheme="minorHAnsi"/>
        </w:rPr>
        <w:tab/>
        <w:t xml:space="preserve">Calculation Algorithm/Measure Logic </w:t>
      </w:r>
    </w:p>
    <w:p w14:paraId="25FB13A4" w14:textId="507D8C2A" w:rsidR="008D68E1" w:rsidRDefault="008D68E1" w:rsidP="00485B5C">
      <w:r>
        <w:t>The score for public display will be an adjusted percentage of access failures. This score is first calculated at the individual ED level as the proportion of ED visits where any one of the four outcomes occurred. Scores will be standardized z-scores by ED case volume strata (defined in ED visit volume bands of 20,000 visits). For CCN’s with more than one ED, volume-adjusted z-scores are then combined as a weighted average for that CCN. This volume-adjusted z-score is then multiplied by the national average to display an adjusted percentage, consistent with other measures currently displayed on Care Compare. A higher score means worse performance, compared to like CCNs. Individual hospitals will receive additional score information.</w:t>
      </w:r>
    </w:p>
    <w:p w14:paraId="1820B1F1" w14:textId="5D1E6046" w:rsidR="0040125A" w:rsidRPr="00533F93" w:rsidRDefault="00D03558" w:rsidP="00C23C64">
      <w:pPr>
        <w:pStyle w:val="Heading4"/>
        <w:rPr>
          <w:rFonts w:cstheme="minorHAnsi"/>
        </w:rPr>
      </w:pPr>
      <w:r w:rsidRPr="00533F93">
        <w:rPr>
          <w:rFonts w:cstheme="minorHAnsi"/>
        </w:rPr>
        <w:lastRenderedPageBreak/>
        <w:t>2</w:t>
      </w:r>
      <w:r w:rsidR="0040125A" w:rsidRPr="00533F93">
        <w:rPr>
          <w:rFonts w:cstheme="minorHAnsi"/>
        </w:rPr>
        <w:t>.17</w:t>
      </w:r>
      <w:r w:rsidR="0040125A" w:rsidRPr="00533F93">
        <w:rPr>
          <w:rFonts w:cstheme="minorHAnsi"/>
        </w:rPr>
        <w:tab/>
        <w:t xml:space="preserve">Sampling </w:t>
      </w:r>
    </w:p>
    <w:p w14:paraId="269AF371" w14:textId="73E16D09" w:rsidR="00222E91" w:rsidRPr="00533F93" w:rsidRDefault="696EC28B" w:rsidP="1B174BA5">
      <w:pPr>
        <w:pStyle w:val="BlueprintText"/>
      </w:pPr>
      <w:r w:rsidRPr="1B174BA5">
        <w:t>Not applicable.</w:t>
      </w:r>
    </w:p>
    <w:p w14:paraId="5E83C013" w14:textId="1492DCB4" w:rsidR="0040125A" w:rsidRPr="00533F93" w:rsidRDefault="00D03558" w:rsidP="00C23C64">
      <w:pPr>
        <w:pStyle w:val="Heading4"/>
        <w:rPr>
          <w:rFonts w:cstheme="minorHAnsi"/>
        </w:rPr>
      </w:pPr>
      <w:r w:rsidRPr="00533F93">
        <w:rPr>
          <w:rFonts w:cstheme="minorHAnsi"/>
        </w:rPr>
        <w:t>2</w:t>
      </w:r>
      <w:r w:rsidR="0040125A" w:rsidRPr="00533F93">
        <w:rPr>
          <w:rFonts w:cstheme="minorHAnsi"/>
        </w:rPr>
        <w:t>.18</w:t>
      </w:r>
      <w:r w:rsidR="0040125A" w:rsidRPr="00533F93">
        <w:rPr>
          <w:rFonts w:cstheme="minorHAnsi"/>
        </w:rPr>
        <w:tab/>
        <w:t xml:space="preserve">Survey/Patient-Reported Data </w:t>
      </w:r>
    </w:p>
    <w:p w14:paraId="262D7429" w14:textId="357A4C9E" w:rsidR="00C86A99" w:rsidRPr="00533F93" w:rsidRDefault="696EC28B" w:rsidP="1B174BA5">
      <w:pPr>
        <w:pStyle w:val="BlueprintText"/>
      </w:pPr>
      <w:r w:rsidRPr="1B174BA5">
        <w:t>Not applicable.</w:t>
      </w:r>
    </w:p>
    <w:p w14:paraId="299A427E" w14:textId="630A88C2" w:rsidR="0040125A" w:rsidRPr="00E92823" w:rsidRDefault="00D03558" w:rsidP="00C23C64">
      <w:pPr>
        <w:pStyle w:val="Heading4"/>
        <w:rPr>
          <w:i/>
          <w:iCs/>
          <w:color w:val="4169E1"/>
        </w:rPr>
      </w:pPr>
      <w:r>
        <w:t>2</w:t>
      </w:r>
      <w:r w:rsidR="0040125A" w:rsidRPr="000B658C">
        <w:t>.19</w:t>
      </w:r>
      <w:r w:rsidR="0040125A" w:rsidRPr="000B658C">
        <w:tab/>
      </w:r>
      <w:r w:rsidR="0040125A" w:rsidRPr="00D339DC">
        <w:t>Data Source</w:t>
      </w:r>
      <w:r w:rsidR="0040125A" w:rsidRPr="000B658C">
        <w:t xml:space="preserve"> </w:t>
      </w:r>
    </w:p>
    <w:p w14:paraId="768736BB" w14:textId="77777777" w:rsidR="0040125A" w:rsidRDefault="0040125A" w:rsidP="0040125A">
      <w:pPr>
        <w:pStyle w:val="ListBullet"/>
        <w:numPr>
          <w:ilvl w:val="0"/>
          <w:numId w:val="0"/>
        </w:numPr>
        <w:ind w:left="360"/>
      </w:pPr>
      <w:r>
        <w:rPr>
          <w:rFonts w:ascii="MS Gothic" w:eastAsia="MS Gothic" w:hAnsi="MS Gothic" w:hint="eastAsia"/>
        </w:rPr>
        <w:t>☐</w:t>
      </w:r>
      <w:r>
        <w:t>administrative data</w:t>
      </w:r>
    </w:p>
    <w:p w14:paraId="3C4B91A1" w14:textId="77777777" w:rsidR="0040125A" w:rsidRDefault="0040125A" w:rsidP="0040125A">
      <w:pPr>
        <w:pStyle w:val="ListBullet"/>
        <w:numPr>
          <w:ilvl w:val="0"/>
          <w:numId w:val="0"/>
        </w:numPr>
        <w:ind w:left="360"/>
      </w:pPr>
      <w:r>
        <w:rPr>
          <w:rFonts w:ascii="MS Gothic" w:eastAsia="MS Gothic" w:hAnsi="MS Gothic" w:hint="eastAsia"/>
        </w:rPr>
        <w:t>☐</w:t>
      </w:r>
      <w:r>
        <w:t>claims data</w:t>
      </w:r>
    </w:p>
    <w:p w14:paraId="3A1EA455" w14:textId="77777777" w:rsidR="0040125A" w:rsidRDefault="0040125A" w:rsidP="0040125A">
      <w:pPr>
        <w:pStyle w:val="ListBullet"/>
        <w:numPr>
          <w:ilvl w:val="0"/>
          <w:numId w:val="0"/>
        </w:numPr>
        <w:ind w:left="360"/>
      </w:pPr>
      <w:r>
        <w:rPr>
          <w:rFonts w:ascii="MS Gothic" w:eastAsia="MS Gothic" w:hAnsi="MS Gothic" w:hint="eastAsia"/>
        </w:rPr>
        <w:t>☐</w:t>
      </w:r>
      <w:r>
        <w:t xml:space="preserve">paper patient medical records </w:t>
      </w:r>
    </w:p>
    <w:p w14:paraId="4493185C" w14:textId="63DC7B2A" w:rsidR="0040125A" w:rsidRPr="00112D5D" w:rsidRDefault="00D95B04" w:rsidP="0040125A">
      <w:pPr>
        <w:pStyle w:val="ListBullet"/>
        <w:numPr>
          <w:ilvl w:val="0"/>
          <w:numId w:val="0"/>
        </w:numPr>
        <w:ind w:left="360"/>
        <w:rPr>
          <w:b/>
          <w:bCs/>
        </w:rPr>
      </w:pPr>
      <w:sdt>
        <w:sdtPr>
          <w:rPr>
            <w:b/>
            <w:bCs/>
          </w:rPr>
          <w:id w:val="1273058120"/>
          <w14:checkbox>
            <w14:checked w14:val="1"/>
            <w14:checkedState w14:val="2612" w14:font="MS Gothic"/>
            <w14:uncheckedState w14:val="2610" w14:font="MS Gothic"/>
          </w14:checkbox>
        </w:sdtPr>
        <w:sdtEndPr/>
        <w:sdtContent>
          <w:r w:rsidR="003B2848">
            <w:rPr>
              <w:rFonts w:ascii="MS Gothic" w:eastAsia="MS Gothic" w:hAnsi="MS Gothic" w:hint="eastAsia"/>
              <w:b/>
              <w:bCs/>
            </w:rPr>
            <w:t>☒</w:t>
          </w:r>
        </w:sdtContent>
      </w:sdt>
      <w:r w:rsidR="003B2848" w:rsidRPr="00112D5D">
        <w:rPr>
          <w:b/>
          <w:bCs/>
        </w:rPr>
        <w:t xml:space="preserve"> </w:t>
      </w:r>
      <w:r w:rsidR="0040125A" w:rsidRPr="00112D5D">
        <w:rPr>
          <w:b/>
          <w:bCs/>
        </w:rPr>
        <w:t>electronic patient medical records</w:t>
      </w:r>
    </w:p>
    <w:p w14:paraId="5A1A6633" w14:textId="3DB36624" w:rsidR="0040125A" w:rsidRPr="00112D5D" w:rsidRDefault="00D95B04" w:rsidP="0040125A">
      <w:pPr>
        <w:pStyle w:val="ListBullet"/>
        <w:numPr>
          <w:ilvl w:val="0"/>
          <w:numId w:val="0"/>
        </w:numPr>
        <w:ind w:left="360"/>
        <w:rPr>
          <w:b/>
          <w:bCs/>
        </w:rPr>
      </w:pPr>
      <w:sdt>
        <w:sdtPr>
          <w:rPr>
            <w:b/>
            <w:bCs/>
          </w:rPr>
          <w:id w:val="-1555613599"/>
          <w14:checkbox>
            <w14:checked w14:val="1"/>
            <w14:checkedState w14:val="2612" w14:font="MS Gothic"/>
            <w14:uncheckedState w14:val="2610" w14:font="MS Gothic"/>
          </w14:checkbox>
        </w:sdtPr>
        <w:sdtEndPr/>
        <w:sdtContent>
          <w:r w:rsidR="003B2848">
            <w:rPr>
              <w:rFonts w:ascii="MS Gothic" w:eastAsia="MS Gothic" w:hAnsi="MS Gothic" w:hint="eastAsia"/>
              <w:b/>
              <w:bCs/>
            </w:rPr>
            <w:t>☒</w:t>
          </w:r>
        </w:sdtContent>
      </w:sdt>
      <w:r w:rsidR="0040125A" w:rsidRPr="00112D5D">
        <w:rPr>
          <w:b/>
          <w:bCs/>
        </w:rPr>
        <w:t>electronic clinical data</w:t>
      </w:r>
    </w:p>
    <w:p w14:paraId="41CF9821" w14:textId="77777777" w:rsidR="0040125A" w:rsidRDefault="0040125A" w:rsidP="0040125A">
      <w:pPr>
        <w:pStyle w:val="ListBullet"/>
        <w:numPr>
          <w:ilvl w:val="0"/>
          <w:numId w:val="0"/>
        </w:numPr>
        <w:ind w:left="360"/>
      </w:pPr>
      <w:r>
        <w:rPr>
          <w:rFonts w:ascii="MS Gothic" w:eastAsia="MS Gothic" w:hAnsi="MS Gothic" w:hint="eastAsia"/>
        </w:rPr>
        <w:t>☐</w:t>
      </w:r>
      <w:r>
        <w:t>registries</w:t>
      </w:r>
    </w:p>
    <w:p w14:paraId="540C0F84" w14:textId="77777777" w:rsidR="0040125A" w:rsidRDefault="0040125A" w:rsidP="0040125A">
      <w:pPr>
        <w:pStyle w:val="ListBullet"/>
        <w:numPr>
          <w:ilvl w:val="0"/>
          <w:numId w:val="0"/>
        </w:numPr>
        <w:ind w:left="360"/>
      </w:pPr>
      <w:r>
        <w:rPr>
          <w:rFonts w:ascii="MS Gothic" w:eastAsia="MS Gothic" w:hAnsi="MS Gothic" w:hint="eastAsia"/>
        </w:rPr>
        <w:t>☐</w:t>
      </w:r>
      <w:r>
        <w:t>standardized patient assessments</w:t>
      </w:r>
    </w:p>
    <w:p w14:paraId="6DBC1983" w14:textId="77777777" w:rsidR="0040125A" w:rsidRDefault="0040125A" w:rsidP="0040125A">
      <w:pPr>
        <w:pStyle w:val="ListBullet"/>
        <w:numPr>
          <w:ilvl w:val="0"/>
          <w:numId w:val="0"/>
        </w:numPr>
        <w:ind w:left="360"/>
      </w:pPr>
      <w:r>
        <w:rPr>
          <w:rFonts w:ascii="MS Gothic" w:eastAsia="MS Gothic" w:hAnsi="MS Gothic" w:hint="eastAsia"/>
        </w:rPr>
        <w:t>☐</w:t>
      </w:r>
      <w:r>
        <w:t>patient-reported data and surveys</w:t>
      </w:r>
    </w:p>
    <w:p w14:paraId="13059F8B" w14:textId="77777777" w:rsidR="00112D5D" w:rsidRDefault="0040125A" w:rsidP="00112D5D">
      <w:pPr>
        <w:pStyle w:val="ListBullet"/>
        <w:numPr>
          <w:ilvl w:val="0"/>
          <w:numId w:val="0"/>
        </w:numPr>
        <w:ind w:left="360"/>
      </w:pPr>
      <w:r>
        <w:rPr>
          <w:rFonts w:ascii="MS Gothic" w:eastAsia="MS Gothic" w:hAnsi="MS Gothic" w:hint="eastAsia"/>
        </w:rPr>
        <w:t>☐</w:t>
      </w:r>
      <w:r>
        <w:t xml:space="preserve">non-medical data </w:t>
      </w:r>
    </w:p>
    <w:p w14:paraId="77A3CE72" w14:textId="1846B98E" w:rsidR="0040125A" w:rsidRPr="00112D5D" w:rsidRDefault="00112D5D" w:rsidP="00112D5D">
      <w:pPr>
        <w:pStyle w:val="ListBullet"/>
        <w:numPr>
          <w:ilvl w:val="0"/>
          <w:numId w:val="0"/>
        </w:numPr>
        <w:ind w:left="360"/>
      </w:pPr>
      <w:r>
        <w:rPr>
          <w:rFonts w:ascii="MS Gothic" w:eastAsia="MS Gothic" w:hAnsi="MS Gothic" w:hint="eastAsia"/>
        </w:rPr>
        <w:t>☐</w:t>
      </w:r>
      <w:r w:rsidR="0040125A" w:rsidRPr="00112D5D">
        <w:t xml:space="preserve">other—describe in </w:t>
      </w:r>
      <w:r w:rsidR="00797D08" w:rsidRPr="00112D5D">
        <w:t>2</w:t>
      </w:r>
      <w:r w:rsidR="0040125A" w:rsidRPr="00112D5D">
        <w:t xml:space="preserve">.20 </w:t>
      </w:r>
    </w:p>
    <w:p w14:paraId="6233D835" w14:textId="26473296" w:rsidR="0040125A" w:rsidRDefault="00D03558" w:rsidP="00C23C64">
      <w:pPr>
        <w:pStyle w:val="Heading4"/>
      </w:pPr>
      <w:r>
        <w:t>2</w:t>
      </w:r>
      <w:r w:rsidR="0040125A">
        <w:t>.20</w:t>
      </w:r>
      <w:r w:rsidR="0040125A">
        <w:tab/>
        <w:t xml:space="preserve">Data Source or Collection Instrument </w:t>
      </w:r>
    </w:p>
    <w:p w14:paraId="3D941863" w14:textId="4A8FC6AC" w:rsidR="0019695C" w:rsidRPr="0019695C" w:rsidRDefault="3CDBD495" w:rsidP="0019695C">
      <w:pPr>
        <w:pStyle w:val="BlueprintText"/>
      </w:pPr>
      <w:r>
        <w:t>Not applicable.</w:t>
      </w:r>
    </w:p>
    <w:p w14:paraId="15311040" w14:textId="65C2DEFA" w:rsidR="0040125A" w:rsidRDefault="00D03558" w:rsidP="00C23C64">
      <w:pPr>
        <w:pStyle w:val="Heading4"/>
      </w:pPr>
      <w:r>
        <w:t>2</w:t>
      </w:r>
      <w:r w:rsidR="0040125A">
        <w:t>.21</w:t>
      </w:r>
      <w:r w:rsidR="0040125A">
        <w:tab/>
        <w:t xml:space="preserve">Data Source or Collection Instrument (Reference) </w:t>
      </w:r>
    </w:p>
    <w:p w14:paraId="26DB75B2" w14:textId="428EC3B7" w:rsidR="0019695C" w:rsidRPr="0019695C" w:rsidRDefault="3CDBD495" w:rsidP="0019695C">
      <w:pPr>
        <w:pStyle w:val="BlueprintText"/>
      </w:pPr>
      <w:r>
        <w:t>Not applicable.</w:t>
      </w:r>
    </w:p>
    <w:p w14:paraId="0E9017DD" w14:textId="32C76787" w:rsidR="0040125A" w:rsidRPr="00E92823" w:rsidRDefault="00D03558" w:rsidP="00C23C64">
      <w:pPr>
        <w:pStyle w:val="Heading4"/>
        <w:rPr>
          <w:i/>
          <w:iCs/>
          <w:color w:val="4169E1"/>
        </w:rPr>
      </w:pPr>
      <w:r>
        <w:t>2</w:t>
      </w:r>
      <w:r w:rsidR="0040125A">
        <w:t>.22</w:t>
      </w:r>
      <w:r w:rsidR="0040125A">
        <w:tab/>
        <w:t xml:space="preserve">Level of Analysis </w:t>
      </w:r>
    </w:p>
    <w:p w14:paraId="4405A314" w14:textId="77777777" w:rsidR="0040125A" w:rsidRDefault="0040125A" w:rsidP="0040125A">
      <w:pPr>
        <w:pStyle w:val="ListBullet"/>
        <w:numPr>
          <w:ilvl w:val="0"/>
          <w:numId w:val="0"/>
        </w:numPr>
        <w:ind w:left="360"/>
      </w:pPr>
      <w:r>
        <w:rPr>
          <w:rFonts w:ascii="MS Gothic" w:eastAsia="MS Gothic" w:hAnsi="MS Gothic" w:hint="eastAsia"/>
        </w:rPr>
        <w:t>☐</w:t>
      </w:r>
      <w:r>
        <w:t>individual clinician</w:t>
      </w:r>
    </w:p>
    <w:p w14:paraId="274DFF06" w14:textId="77777777" w:rsidR="0040125A" w:rsidRDefault="0040125A" w:rsidP="0040125A">
      <w:pPr>
        <w:pStyle w:val="ListBullet"/>
        <w:numPr>
          <w:ilvl w:val="0"/>
          <w:numId w:val="0"/>
        </w:numPr>
        <w:ind w:left="360"/>
      </w:pPr>
      <w:r>
        <w:rPr>
          <w:rFonts w:ascii="MS Gothic" w:eastAsia="MS Gothic" w:hAnsi="MS Gothic" w:hint="eastAsia"/>
        </w:rPr>
        <w:t>☐</w:t>
      </w:r>
      <w:r>
        <w:t>group/practice</w:t>
      </w:r>
    </w:p>
    <w:p w14:paraId="763D4AF7" w14:textId="51643115" w:rsidR="0040125A" w:rsidRPr="002D568A" w:rsidRDefault="00D95B04" w:rsidP="0040125A">
      <w:pPr>
        <w:pStyle w:val="ListBullet"/>
        <w:numPr>
          <w:ilvl w:val="0"/>
          <w:numId w:val="0"/>
        </w:numPr>
        <w:ind w:left="360"/>
        <w:rPr>
          <w:b/>
          <w:bCs/>
        </w:rPr>
      </w:pPr>
      <w:sdt>
        <w:sdtPr>
          <w:rPr>
            <w:rFonts w:ascii="MS Gothic" w:eastAsia="MS Gothic" w:hAnsi="MS Gothic" w:hint="eastAsia"/>
            <w:b/>
            <w:bCs/>
          </w:rPr>
          <w:id w:val="1687640938"/>
          <w14:checkbox>
            <w14:checked w14:val="1"/>
            <w14:checkedState w14:val="2612" w14:font="MS Gothic"/>
            <w14:uncheckedState w14:val="2610" w14:font="MS Gothic"/>
          </w14:checkbox>
        </w:sdtPr>
        <w:sdtEndPr/>
        <w:sdtContent>
          <w:r w:rsidR="002D568A" w:rsidRPr="002D568A">
            <w:rPr>
              <w:rFonts w:ascii="MS Gothic" w:eastAsia="MS Gothic" w:hAnsi="MS Gothic" w:hint="eastAsia"/>
              <w:b/>
              <w:bCs/>
            </w:rPr>
            <w:t>☒</w:t>
          </w:r>
        </w:sdtContent>
      </w:sdt>
      <w:r w:rsidR="0040125A" w:rsidRPr="002D568A">
        <w:rPr>
          <w:b/>
          <w:bCs/>
        </w:rPr>
        <w:t>hospital/facility/agency</w:t>
      </w:r>
    </w:p>
    <w:p w14:paraId="2871D201" w14:textId="77777777" w:rsidR="0040125A" w:rsidRDefault="0040125A" w:rsidP="0040125A">
      <w:pPr>
        <w:pStyle w:val="ListBullet"/>
        <w:numPr>
          <w:ilvl w:val="0"/>
          <w:numId w:val="0"/>
        </w:numPr>
        <w:ind w:left="360"/>
      </w:pPr>
      <w:r>
        <w:rPr>
          <w:rFonts w:ascii="MS Gothic" w:eastAsia="MS Gothic" w:hAnsi="MS Gothic" w:hint="eastAsia"/>
        </w:rPr>
        <w:t>☐</w:t>
      </w:r>
      <w:r>
        <w:t>health plan</w:t>
      </w:r>
      <w:r w:rsidRPr="00F02599">
        <w:t xml:space="preserve"> </w:t>
      </w:r>
    </w:p>
    <w:p w14:paraId="319235F9" w14:textId="77777777" w:rsidR="0040125A" w:rsidRDefault="0040125A" w:rsidP="0040125A">
      <w:pPr>
        <w:pStyle w:val="ListBullet"/>
        <w:numPr>
          <w:ilvl w:val="0"/>
          <w:numId w:val="0"/>
        </w:numPr>
        <w:ind w:left="360"/>
      </w:pPr>
      <w:r>
        <w:rPr>
          <w:rFonts w:ascii="MS Gothic" w:eastAsia="MS Gothic" w:hAnsi="MS Gothic" w:hint="eastAsia"/>
        </w:rPr>
        <w:t>☐</w:t>
      </w:r>
      <w:r>
        <w:t>accountable care organization</w:t>
      </w:r>
    </w:p>
    <w:p w14:paraId="512D617B" w14:textId="77777777" w:rsidR="0040125A" w:rsidRDefault="0040125A" w:rsidP="0040125A">
      <w:pPr>
        <w:pStyle w:val="ListBullet"/>
        <w:numPr>
          <w:ilvl w:val="0"/>
          <w:numId w:val="0"/>
        </w:numPr>
        <w:ind w:left="360"/>
      </w:pPr>
      <w:r>
        <w:rPr>
          <w:rFonts w:ascii="MS Gothic" w:eastAsia="MS Gothic" w:hAnsi="MS Gothic" w:hint="eastAsia"/>
        </w:rPr>
        <w:t>☐</w:t>
      </w:r>
      <w:r>
        <w:t>geographic population</w:t>
      </w:r>
    </w:p>
    <w:p w14:paraId="55018539" w14:textId="77777777" w:rsidR="0040125A" w:rsidRDefault="0040125A" w:rsidP="0040125A">
      <w:pPr>
        <w:pStyle w:val="ListBullet"/>
        <w:numPr>
          <w:ilvl w:val="0"/>
          <w:numId w:val="0"/>
        </w:numPr>
        <w:ind w:left="360"/>
      </w:pPr>
      <w:r>
        <w:rPr>
          <w:rFonts w:ascii="MS Gothic" w:eastAsia="MS Gothic" w:hAnsi="MS Gothic" w:hint="eastAsia"/>
        </w:rPr>
        <w:t>☐</w:t>
      </w:r>
      <w:r>
        <w:t>other (specify)</w:t>
      </w:r>
      <w:r w:rsidRPr="006F778C">
        <w:rPr>
          <w:rStyle w:val="BlackUnderline"/>
        </w:rPr>
        <w:t xml:space="preserve"> </w:t>
      </w:r>
      <w:sdt>
        <w:sdtPr>
          <w:rPr>
            <w:rStyle w:val="BlackUnderline"/>
          </w:rPr>
          <w:id w:val="-1386011704"/>
          <w:placeholder>
            <w:docPart w:val="401EB81479A942C1BC052FF8109855BC"/>
          </w:placeholder>
          <w:showingPlcHdr/>
          <w:text/>
        </w:sdtPr>
        <w:sdtEndPr>
          <w:rPr>
            <w:rStyle w:val="DefaultParagraphFont"/>
            <w:color w:val="FFFFFF"/>
            <w:u w:val="none"/>
          </w:rPr>
        </w:sdtEndPr>
        <w:sdtContent>
          <w:r w:rsidRPr="00836ABC">
            <w:rPr>
              <w:rStyle w:val="StylePlaceholderTextLatinBodyCalibriUnderline"/>
              <w:rFonts w:cstheme="minorHAnsi"/>
              <w:color w:val="auto"/>
            </w:rPr>
            <w:t>Click or tap here to enter text.</w:t>
          </w:r>
        </w:sdtContent>
      </w:sdt>
    </w:p>
    <w:p w14:paraId="3660B7DF" w14:textId="637E6CAB" w:rsidR="0040125A" w:rsidRPr="00E92823" w:rsidRDefault="00D03558" w:rsidP="00C23C64">
      <w:pPr>
        <w:pStyle w:val="Heading4"/>
        <w:rPr>
          <w:i/>
          <w:iCs/>
          <w:color w:val="4169E1"/>
        </w:rPr>
      </w:pPr>
      <w:r>
        <w:t>2</w:t>
      </w:r>
      <w:r w:rsidR="0040125A">
        <w:t>.23</w:t>
      </w:r>
      <w:r w:rsidR="0040125A">
        <w:tab/>
        <w:t xml:space="preserve">Care Setting </w:t>
      </w:r>
    </w:p>
    <w:p w14:paraId="77C64667" w14:textId="77777777" w:rsidR="0040125A" w:rsidRDefault="0040125A" w:rsidP="0040125A">
      <w:pPr>
        <w:pStyle w:val="ListBullet"/>
        <w:numPr>
          <w:ilvl w:val="0"/>
          <w:numId w:val="0"/>
        </w:numPr>
        <w:ind w:left="360"/>
      </w:pPr>
      <w:r>
        <w:rPr>
          <w:rFonts w:ascii="MS Gothic" w:eastAsia="MS Gothic" w:hAnsi="MS Gothic" w:hint="eastAsia"/>
        </w:rPr>
        <w:t>☐</w:t>
      </w:r>
      <w:r>
        <w:t>ambulatory surgery center</w:t>
      </w:r>
    </w:p>
    <w:p w14:paraId="0C87DDA0" w14:textId="77777777" w:rsidR="0040125A" w:rsidRDefault="0040125A" w:rsidP="0040125A">
      <w:pPr>
        <w:pStyle w:val="ListBullet"/>
        <w:numPr>
          <w:ilvl w:val="0"/>
          <w:numId w:val="0"/>
        </w:numPr>
        <w:ind w:left="360"/>
      </w:pPr>
      <w:r>
        <w:rPr>
          <w:rFonts w:ascii="MS Gothic" w:eastAsia="MS Gothic" w:hAnsi="MS Gothic" w:hint="eastAsia"/>
        </w:rPr>
        <w:t>☐</w:t>
      </w:r>
      <w:r>
        <w:t>clinician office/clinic</w:t>
      </w:r>
    </w:p>
    <w:p w14:paraId="534DEE82" w14:textId="77777777" w:rsidR="0040125A" w:rsidRDefault="0040125A" w:rsidP="0040125A">
      <w:pPr>
        <w:pStyle w:val="ListBullet"/>
        <w:numPr>
          <w:ilvl w:val="0"/>
          <w:numId w:val="0"/>
        </w:numPr>
        <w:ind w:left="360"/>
      </w:pPr>
      <w:r>
        <w:rPr>
          <w:rFonts w:ascii="MS Gothic" w:eastAsia="MS Gothic" w:hAnsi="MS Gothic" w:hint="eastAsia"/>
        </w:rPr>
        <w:t>☐</w:t>
      </w:r>
      <w:r>
        <w:t>outpatient rehabilitation</w:t>
      </w:r>
    </w:p>
    <w:p w14:paraId="6FC3D195" w14:textId="77777777" w:rsidR="0040125A" w:rsidRDefault="0040125A" w:rsidP="0040125A">
      <w:pPr>
        <w:pStyle w:val="ListBullet"/>
        <w:numPr>
          <w:ilvl w:val="0"/>
          <w:numId w:val="0"/>
        </w:numPr>
        <w:ind w:left="360"/>
      </w:pPr>
      <w:r>
        <w:rPr>
          <w:rFonts w:ascii="MS Gothic" w:eastAsia="MS Gothic" w:hAnsi="MS Gothic" w:hint="eastAsia"/>
        </w:rPr>
        <w:t>☐</w:t>
      </w:r>
      <w:r>
        <w:t>urgent care – ambulatory</w:t>
      </w:r>
    </w:p>
    <w:p w14:paraId="464C3199" w14:textId="77777777" w:rsidR="0040125A" w:rsidRDefault="0040125A" w:rsidP="0040125A">
      <w:pPr>
        <w:pStyle w:val="ListBullet"/>
        <w:numPr>
          <w:ilvl w:val="0"/>
          <w:numId w:val="0"/>
        </w:numPr>
        <w:ind w:left="360"/>
      </w:pPr>
      <w:r>
        <w:rPr>
          <w:rFonts w:ascii="MS Gothic" w:eastAsia="MS Gothic" w:hAnsi="MS Gothic" w:hint="eastAsia"/>
        </w:rPr>
        <w:t>☐</w:t>
      </w:r>
      <w:r>
        <w:t>behavioral health: inpatient</w:t>
      </w:r>
    </w:p>
    <w:p w14:paraId="741786C8" w14:textId="77777777" w:rsidR="0040125A" w:rsidRDefault="0040125A" w:rsidP="0040125A">
      <w:pPr>
        <w:pStyle w:val="ListBullet"/>
        <w:numPr>
          <w:ilvl w:val="0"/>
          <w:numId w:val="0"/>
        </w:numPr>
        <w:ind w:left="360"/>
      </w:pPr>
      <w:r>
        <w:rPr>
          <w:rFonts w:ascii="MS Gothic" w:eastAsia="MS Gothic" w:hAnsi="MS Gothic" w:hint="eastAsia"/>
        </w:rPr>
        <w:t>☐</w:t>
      </w:r>
      <w:r>
        <w:t>behavioral health: outpatient</w:t>
      </w:r>
    </w:p>
    <w:p w14:paraId="459A9C72" w14:textId="77777777" w:rsidR="0040125A" w:rsidRDefault="0040125A" w:rsidP="0040125A">
      <w:pPr>
        <w:pStyle w:val="ListBullet"/>
        <w:numPr>
          <w:ilvl w:val="0"/>
          <w:numId w:val="0"/>
        </w:numPr>
        <w:ind w:left="360"/>
      </w:pPr>
      <w:r>
        <w:rPr>
          <w:rFonts w:ascii="MS Gothic" w:eastAsia="MS Gothic" w:hAnsi="MS Gothic" w:hint="eastAsia"/>
        </w:rPr>
        <w:t>☐</w:t>
      </w:r>
      <w:r>
        <w:t>dialysis facility</w:t>
      </w:r>
    </w:p>
    <w:p w14:paraId="57708992" w14:textId="77777777" w:rsidR="0040125A" w:rsidRDefault="0040125A" w:rsidP="0040125A">
      <w:pPr>
        <w:pStyle w:val="ListBullet"/>
        <w:numPr>
          <w:ilvl w:val="0"/>
          <w:numId w:val="0"/>
        </w:numPr>
        <w:ind w:left="360"/>
      </w:pPr>
      <w:r>
        <w:rPr>
          <w:rFonts w:ascii="MS Gothic" w:eastAsia="MS Gothic" w:hAnsi="MS Gothic" w:hint="eastAsia"/>
        </w:rPr>
        <w:t>☐</w:t>
      </w:r>
      <w:r>
        <w:t>emergency medical services/ambulance</w:t>
      </w:r>
    </w:p>
    <w:p w14:paraId="135A7CCF" w14:textId="3AB4C28E" w:rsidR="0040125A" w:rsidRPr="00112D5D" w:rsidRDefault="00D95B04" w:rsidP="0040125A">
      <w:pPr>
        <w:pStyle w:val="ListBullet"/>
        <w:numPr>
          <w:ilvl w:val="0"/>
          <w:numId w:val="0"/>
        </w:numPr>
        <w:ind w:left="360"/>
        <w:rPr>
          <w:b/>
          <w:bCs/>
        </w:rPr>
      </w:pPr>
      <w:sdt>
        <w:sdtPr>
          <w:rPr>
            <w:b/>
            <w:bCs/>
          </w:rPr>
          <w:id w:val="212092301"/>
          <w14:checkbox>
            <w14:checked w14:val="1"/>
            <w14:checkedState w14:val="2612" w14:font="MS Gothic"/>
            <w14:uncheckedState w14:val="2610" w14:font="MS Gothic"/>
          </w14:checkbox>
        </w:sdtPr>
        <w:sdtEndPr/>
        <w:sdtContent>
          <w:r w:rsidR="00112D5D">
            <w:rPr>
              <w:rFonts w:ascii="MS Gothic" w:eastAsia="MS Gothic" w:hAnsi="MS Gothic" w:hint="eastAsia"/>
              <w:b/>
              <w:bCs/>
            </w:rPr>
            <w:t>☒</w:t>
          </w:r>
        </w:sdtContent>
      </w:sdt>
      <w:r w:rsidR="0040125A" w:rsidRPr="00112D5D">
        <w:rPr>
          <w:b/>
          <w:bCs/>
        </w:rPr>
        <w:t>emergency department</w:t>
      </w:r>
    </w:p>
    <w:p w14:paraId="1172D1B7" w14:textId="77777777" w:rsidR="0040125A" w:rsidRDefault="0040125A" w:rsidP="0040125A">
      <w:pPr>
        <w:pStyle w:val="ListBullet"/>
        <w:numPr>
          <w:ilvl w:val="0"/>
          <w:numId w:val="0"/>
        </w:numPr>
        <w:ind w:left="360"/>
      </w:pPr>
      <w:r>
        <w:rPr>
          <w:rFonts w:ascii="MS Gothic" w:eastAsia="MS Gothic" w:hAnsi="MS Gothic" w:hint="eastAsia"/>
        </w:rPr>
        <w:t>☐</w:t>
      </w:r>
      <w:r>
        <w:t>home health</w:t>
      </w:r>
    </w:p>
    <w:p w14:paraId="7CE41C03" w14:textId="77777777" w:rsidR="0040125A" w:rsidRDefault="0040125A" w:rsidP="0040125A">
      <w:pPr>
        <w:pStyle w:val="ListBullet"/>
        <w:numPr>
          <w:ilvl w:val="0"/>
          <w:numId w:val="0"/>
        </w:numPr>
        <w:ind w:left="360"/>
      </w:pPr>
      <w:r w:rsidRPr="007D4D06">
        <w:rPr>
          <w:rFonts w:ascii="MS Gothic" w:eastAsia="MS Gothic" w:hAnsi="MS Gothic" w:hint="eastAsia"/>
        </w:rPr>
        <w:lastRenderedPageBreak/>
        <w:t>☐</w:t>
      </w:r>
      <w:r w:rsidRPr="007D4D06">
        <w:t>hospice</w:t>
      </w:r>
    </w:p>
    <w:p w14:paraId="5613AAAE" w14:textId="6CDBE808" w:rsidR="0040125A" w:rsidRPr="00112D5D" w:rsidRDefault="00D95B04" w:rsidP="0040125A">
      <w:pPr>
        <w:pStyle w:val="ListBullet"/>
        <w:numPr>
          <w:ilvl w:val="0"/>
          <w:numId w:val="0"/>
        </w:numPr>
        <w:ind w:left="360"/>
      </w:pPr>
      <w:sdt>
        <w:sdtPr>
          <w:id w:val="2015338383"/>
          <w14:checkbox>
            <w14:checked w14:val="0"/>
            <w14:checkedState w14:val="2612" w14:font="MS Gothic"/>
            <w14:uncheckedState w14:val="2610" w14:font="MS Gothic"/>
          </w14:checkbox>
        </w:sdtPr>
        <w:sdtEndPr/>
        <w:sdtContent>
          <w:r w:rsidR="00112D5D">
            <w:rPr>
              <w:rFonts w:ascii="MS Gothic" w:eastAsia="MS Gothic" w:hAnsi="MS Gothic" w:hint="eastAsia"/>
            </w:rPr>
            <w:t>☐</w:t>
          </w:r>
        </w:sdtContent>
      </w:sdt>
      <w:r w:rsidR="0040125A" w:rsidRPr="00112D5D">
        <w:t>hospital</w:t>
      </w:r>
    </w:p>
    <w:p w14:paraId="4B87BE56" w14:textId="77777777" w:rsidR="0040125A" w:rsidRPr="00112D5D" w:rsidRDefault="0040125A" w:rsidP="0040125A">
      <w:pPr>
        <w:pStyle w:val="ListBullet"/>
        <w:numPr>
          <w:ilvl w:val="0"/>
          <w:numId w:val="0"/>
        </w:numPr>
        <w:ind w:left="360"/>
      </w:pPr>
      <w:r w:rsidRPr="00112D5D">
        <w:rPr>
          <w:rFonts w:ascii="MS Gothic" w:eastAsia="MS Gothic" w:hAnsi="MS Gothic" w:hint="eastAsia"/>
        </w:rPr>
        <w:t>☐</w:t>
      </w:r>
      <w:r w:rsidRPr="00112D5D">
        <w:t>hospital: critical care</w:t>
      </w:r>
    </w:p>
    <w:p w14:paraId="319DBD03" w14:textId="289F98A5" w:rsidR="0040125A" w:rsidRPr="00112D5D" w:rsidRDefault="00D95B04" w:rsidP="0040125A">
      <w:pPr>
        <w:pStyle w:val="ListBullet"/>
        <w:numPr>
          <w:ilvl w:val="0"/>
          <w:numId w:val="0"/>
        </w:numPr>
        <w:ind w:left="360"/>
      </w:pPr>
      <w:sdt>
        <w:sdtPr>
          <w:rPr>
            <w:rFonts w:ascii="MS Gothic" w:eastAsia="MS Gothic" w:hAnsi="MS Gothic" w:hint="eastAsia"/>
          </w:rPr>
          <w:id w:val="1456607127"/>
          <w14:checkbox>
            <w14:checked w14:val="0"/>
            <w14:checkedState w14:val="2612" w14:font="MS Gothic"/>
            <w14:uncheckedState w14:val="2610" w14:font="MS Gothic"/>
          </w14:checkbox>
        </w:sdtPr>
        <w:sdtEndPr/>
        <w:sdtContent>
          <w:r w:rsidR="00112D5D">
            <w:rPr>
              <w:rFonts w:ascii="MS Gothic" w:eastAsia="MS Gothic" w:hAnsi="MS Gothic" w:hint="eastAsia"/>
            </w:rPr>
            <w:t>☐</w:t>
          </w:r>
        </w:sdtContent>
      </w:sdt>
      <w:r w:rsidR="0040125A" w:rsidRPr="00112D5D">
        <w:t>hospital: acute care facility</w:t>
      </w:r>
    </w:p>
    <w:p w14:paraId="0B68F8C8" w14:textId="77777777" w:rsidR="0040125A" w:rsidRDefault="0040125A" w:rsidP="0040125A">
      <w:pPr>
        <w:pStyle w:val="ListBullet"/>
        <w:numPr>
          <w:ilvl w:val="0"/>
          <w:numId w:val="0"/>
        </w:numPr>
        <w:ind w:left="360"/>
      </w:pPr>
      <w:r>
        <w:rPr>
          <w:rFonts w:ascii="MS Gothic" w:eastAsia="MS Gothic" w:hAnsi="MS Gothic" w:hint="eastAsia"/>
        </w:rPr>
        <w:t>☐</w:t>
      </w:r>
      <w:r>
        <w:t>imaging facility</w:t>
      </w:r>
    </w:p>
    <w:p w14:paraId="551CB838" w14:textId="77777777" w:rsidR="0040125A" w:rsidRDefault="0040125A" w:rsidP="0040125A">
      <w:pPr>
        <w:pStyle w:val="ListBullet"/>
        <w:numPr>
          <w:ilvl w:val="0"/>
          <w:numId w:val="0"/>
        </w:numPr>
        <w:ind w:left="360"/>
      </w:pPr>
      <w:r>
        <w:rPr>
          <w:rFonts w:ascii="MS Gothic" w:eastAsia="MS Gothic" w:hAnsi="MS Gothic" w:hint="eastAsia"/>
        </w:rPr>
        <w:t>☐</w:t>
      </w:r>
      <w:r>
        <w:t>laboratory</w:t>
      </w:r>
    </w:p>
    <w:p w14:paraId="49D41296" w14:textId="77777777" w:rsidR="0040125A" w:rsidRDefault="0040125A" w:rsidP="0040125A">
      <w:pPr>
        <w:pStyle w:val="ListBullet"/>
        <w:numPr>
          <w:ilvl w:val="0"/>
          <w:numId w:val="0"/>
        </w:numPr>
        <w:ind w:left="360"/>
      </w:pPr>
      <w:r>
        <w:rPr>
          <w:rFonts w:ascii="MS Gothic" w:eastAsia="MS Gothic" w:hAnsi="MS Gothic" w:hint="eastAsia"/>
        </w:rPr>
        <w:t>☐</w:t>
      </w:r>
      <w:r>
        <w:t>pharmacy</w:t>
      </w:r>
    </w:p>
    <w:p w14:paraId="67D9E0F4" w14:textId="77777777" w:rsidR="0040125A" w:rsidRDefault="0040125A" w:rsidP="0040125A">
      <w:pPr>
        <w:pStyle w:val="ListBullet"/>
        <w:numPr>
          <w:ilvl w:val="0"/>
          <w:numId w:val="0"/>
        </w:numPr>
        <w:ind w:left="360"/>
      </w:pPr>
      <w:r>
        <w:rPr>
          <w:rFonts w:ascii="MS Gothic" w:eastAsia="MS Gothic" w:hAnsi="MS Gothic" w:hint="eastAsia"/>
        </w:rPr>
        <w:t>☐</w:t>
      </w:r>
      <w:r>
        <w:t>nursing home/skilled nursing facility (SNF)</w:t>
      </w:r>
    </w:p>
    <w:p w14:paraId="2C97D007" w14:textId="77777777" w:rsidR="0040125A" w:rsidRDefault="0040125A" w:rsidP="0040125A">
      <w:pPr>
        <w:pStyle w:val="ListBullet"/>
        <w:numPr>
          <w:ilvl w:val="0"/>
          <w:numId w:val="0"/>
        </w:numPr>
        <w:ind w:left="360"/>
      </w:pPr>
      <w:r>
        <w:rPr>
          <w:rFonts w:ascii="MS Gothic" w:eastAsia="MS Gothic" w:hAnsi="MS Gothic" w:hint="eastAsia"/>
        </w:rPr>
        <w:t>☐</w:t>
      </w:r>
      <w:r>
        <w:t>inpatient rehabilitation facility (IRF)</w:t>
      </w:r>
    </w:p>
    <w:p w14:paraId="571458C9" w14:textId="77777777" w:rsidR="0040125A" w:rsidRDefault="0040125A" w:rsidP="0040125A">
      <w:pPr>
        <w:pStyle w:val="ListBullet"/>
        <w:numPr>
          <w:ilvl w:val="0"/>
          <w:numId w:val="0"/>
        </w:numPr>
        <w:ind w:left="360"/>
      </w:pPr>
      <w:r>
        <w:rPr>
          <w:rFonts w:ascii="MS Gothic" w:eastAsia="MS Gothic" w:hAnsi="MS Gothic" w:hint="eastAsia"/>
        </w:rPr>
        <w:t>☐</w:t>
      </w:r>
      <w:r>
        <w:t>long-term acute care</w:t>
      </w:r>
    </w:p>
    <w:p w14:paraId="429EF25B" w14:textId="77777777" w:rsidR="0040125A" w:rsidRDefault="0040125A" w:rsidP="0040125A">
      <w:pPr>
        <w:pStyle w:val="ListBullet"/>
        <w:numPr>
          <w:ilvl w:val="0"/>
          <w:numId w:val="0"/>
        </w:numPr>
        <w:ind w:left="360"/>
      </w:pPr>
      <w:r>
        <w:rPr>
          <w:rFonts w:ascii="MS Gothic" w:eastAsia="MS Gothic" w:hAnsi="MS Gothic" w:hint="eastAsia"/>
        </w:rPr>
        <w:t>☐</w:t>
      </w:r>
      <w:r>
        <w:t>birthing center</w:t>
      </w:r>
    </w:p>
    <w:p w14:paraId="66C47701" w14:textId="77777777" w:rsidR="0040125A" w:rsidRDefault="0040125A" w:rsidP="0040125A">
      <w:pPr>
        <w:pStyle w:val="ListBullet"/>
        <w:numPr>
          <w:ilvl w:val="0"/>
          <w:numId w:val="0"/>
        </w:numPr>
        <w:ind w:left="360"/>
      </w:pPr>
      <w:r>
        <w:rPr>
          <w:rFonts w:ascii="MS Gothic" w:eastAsia="MS Gothic" w:hAnsi="MS Gothic" w:hint="eastAsia"/>
        </w:rPr>
        <w:t>☐</w:t>
      </w:r>
      <w:r>
        <w:t xml:space="preserve">no applicable care setting </w:t>
      </w:r>
    </w:p>
    <w:p w14:paraId="1A165B6D" w14:textId="77777777" w:rsidR="0040125A" w:rsidRDefault="0040125A" w:rsidP="0040125A">
      <w:pPr>
        <w:pStyle w:val="ListBullet"/>
        <w:numPr>
          <w:ilvl w:val="0"/>
          <w:numId w:val="0"/>
        </w:numPr>
        <w:ind w:left="360"/>
      </w:pPr>
      <w:r>
        <w:rPr>
          <w:rFonts w:ascii="MS Gothic" w:eastAsia="MS Gothic" w:hAnsi="MS Gothic" w:hint="eastAsia"/>
        </w:rPr>
        <w:t>☐</w:t>
      </w:r>
      <w:r>
        <w:t>other</w:t>
      </w:r>
      <w:r>
        <w:rPr>
          <w:rFonts w:cstheme="minorHAnsi"/>
        </w:rPr>
        <w:t xml:space="preserve"> </w:t>
      </w:r>
      <w:r w:rsidRPr="008175A5">
        <w:rPr>
          <w:rFonts w:cstheme="minorHAnsi"/>
        </w:rPr>
        <w:t>(specify)</w:t>
      </w:r>
      <w:r w:rsidRPr="008175A5">
        <w:rPr>
          <w:rStyle w:val="BlackUnderline"/>
          <w:rFonts w:cstheme="minorHAnsi"/>
        </w:rPr>
        <w:t xml:space="preserve"> </w:t>
      </w:r>
      <w:sdt>
        <w:sdtPr>
          <w:rPr>
            <w:rStyle w:val="BlackUnderline"/>
            <w:rFonts w:cstheme="minorHAnsi"/>
          </w:rPr>
          <w:id w:val="1342593100"/>
          <w:placeholder>
            <w:docPart w:val="2D50045DD50D4C4380E7D8496F333D1A"/>
          </w:placeholder>
          <w:showingPlcHdr/>
          <w:text/>
        </w:sdtPr>
        <w:sdtEndPr>
          <w:rPr>
            <w:rStyle w:val="DefaultParagraphFont"/>
            <w:color w:val="FFFFFF"/>
            <w:u w:val="none"/>
          </w:rPr>
        </w:sdtEndPr>
        <w:sdtContent>
          <w:r w:rsidRPr="00836ABC">
            <w:rPr>
              <w:rStyle w:val="StylePlaceholderTextLatinBodyCalibriUnderline"/>
              <w:color w:val="auto"/>
            </w:rPr>
            <w:t>Click or tap here to enter text.</w:t>
          </w:r>
        </w:sdtContent>
      </w:sdt>
    </w:p>
    <w:p w14:paraId="66BE13F3" w14:textId="282940EC" w:rsidR="0040125A" w:rsidRPr="00E92823" w:rsidRDefault="00D03558" w:rsidP="00C23C64">
      <w:pPr>
        <w:pStyle w:val="Heading4"/>
        <w:rPr>
          <w:i/>
          <w:iCs/>
          <w:color w:val="4169E1"/>
        </w:rPr>
      </w:pPr>
      <w:r>
        <w:t>2</w:t>
      </w:r>
      <w:r w:rsidR="0040125A">
        <w:t>.24</w:t>
      </w:r>
      <w:r w:rsidR="0040125A">
        <w:tab/>
      </w:r>
      <w:r w:rsidR="0040125A" w:rsidRPr="00D339DC">
        <w:t>Composite Measure</w:t>
      </w:r>
      <w:r w:rsidR="0040125A">
        <w:t xml:space="preserve"> </w:t>
      </w:r>
    </w:p>
    <w:p w14:paraId="233CC886" w14:textId="059955D3" w:rsidR="0040125A" w:rsidRPr="0019695C" w:rsidRDefault="6213BE3D" w:rsidP="00794ABA">
      <w:pPr>
        <w:pStyle w:val="BlueprintText"/>
      </w:pPr>
      <w:r>
        <w:t>Not applicable.</w:t>
      </w:r>
    </w:p>
    <w:p w14:paraId="09BA40DC" w14:textId="7C0EE913" w:rsidR="00794ABA" w:rsidRPr="00C77ECF" w:rsidRDefault="00794ABA" w:rsidP="00C23C64">
      <w:pPr>
        <w:pStyle w:val="Heading3"/>
      </w:pPr>
      <w:r w:rsidRPr="00C23C64">
        <w:t>Importance</w:t>
      </w:r>
    </w:p>
    <w:p w14:paraId="4957004D" w14:textId="1CA5F101" w:rsidR="00794ABA" w:rsidRDefault="00D03558" w:rsidP="00C23C64">
      <w:pPr>
        <w:pStyle w:val="Heading4"/>
      </w:pPr>
      <w:r>
        <w:t>3</w:t>
      </w:r>
      <w:r w:rsidR="00794ABA" w:rsidRPr="000B658C">
        <w:t>.1</w:t>
      </w:r>
      <w:r w:rsidR="00794ABA" w:rsidRPr="000B658C">
        <w:tab/>
        <w:t>Evidence to Support the Measure Focus (for reference only</w:t>
      </w:r>
      <w:r w:rsidR="00794ABA" w:rsidRPr="001705D4">
        <w:t>)</w:t>
      </w:r>
      <w:r w:rsidR="00794ABA" w:rsidRPr="004C711D">
        <w:t xml:space="preserve"> </w:t>
      </w:r>
    </w:p>
    <w:p w14:paraId="6D561A61" w14:textId="77777777" w:rsidR="0091736B" w:rsidRPr="00533F93" w:rsidRDefault="0091736B" w:rsidP="0091736B">
      <w:pPr>
        <w:spacing w:after="120"/>
      </w:pPr>
      <w:bookmarkStart w:id="4" w:name="_Hlk508594482"/>
      <w:r w:rsidRPr="00533F93">
        <w:t>EDs in the United States (U.S.) play a crucial role in providing immediate medical care to individuals who require urgent attention for a wide range of injuries, illnesses, and medical emergencies. EDs also provide a safety-net for care in most communities, serving as an open door for a broad range of services, including trauma care, diagnostic services, procedures, coordination and referrals, public health and disaster response, and patient education and coordination of care. The ED is also a critical hub in the health system, connecting care and services between a broad array of non-hospital settings and other hospital settings, such as inpatient care. Because of this larger health system role, focusing on variation in ED care has impacts beyond the ED itself.</w:t>
      </w:r>
    </w:p>
    <w:p w14:paraId="1B3EDC6C" w14:textId="0DDA1E53" w:rsidR="0091736B" w:rsidRPr="00533F93" w:rsidRDefault="0091736B" w:rsidP="0091736B">
      <w:pPr>
        <w:spacing w:after="120"/>
      </w:pPr>
      <w:r w:rsidRPr="00533F93">
        <w:rPr>
          <w:rStyle w:val="BodyTextChar"/>
          <w:sz w:val="22"/>
          <w:szCs w:val="22"/>
        </w:rPr>
        <w:t>There are long-standing and worldwide concerns about parameters that impact the quality and timeliness of care in the ED, including interactions between patients admitted to the hospital from the ED, care quality in the ED, and hospital capacity at large. For example, when a patient is deemed to require inpatient care but there are no inpatient beds available, that patient may remain in the ED until a bed becomes available (this patient is now “boarding” in the ED).</w:t>
      </w:r>
      <w:r w:rsidR="00533F93" w:rsidRPr="00533F93">
        <w:rPr>
          <w:rStyle w:val="EndnoteReference"/>
          <w:rFonts w:ascii="Calibri" w:eastAsia="Calibri" w:hAnsi="Calibri"/>
        </w:rPr>
        <w:endnoteReference w:id="2"/>
      </w:r>
      <w:r w:rsidRPr="00533F93">
        <w:rPr>
          <w:rStyle w:val="BodyTextChar"/>
          <w:sz w:val="22"/>
          <w:szCs w:val="22"/>
        </w:rPr>
        <w:t xml:space="preserve"> ED boarding and crowding have been shown to be associated with poor patient outcomes, including increased mortality (in ED and non-ED patients),</w:t>
      </w:r>
      <w:bookmarkStart w:id="5" w:name="_Ref164709308"/>
      <w:r w:rsidR="00533F93" w:rsidRPr="00533F93">
        <w:rPr>
          <w:rStyle w:val="EndnoteReference"/>
          <w:rFonts w:ascii="Calibri" w:eastAsia="Calibri" w:hAnsi="Calibri"/>
        </w:rPr>
        <w:endnoteReference w:id="3"/>
      </w:r>
      <w:bookmarkEnd w:id="5"/>
      <w:r w:rsidR="00533F93" w:rsidRPr="00533F93">
        <w:rPr>
          <w:rStyle w:val="BodyTextChar"/>
          <w:sz w:val="22"/>
          <w:szCs w:val="22"/>
          <w:vertAlign w:val="superscript"/>
        </w:rPr>
        <w:t>,</w:t>
      </w:r>
      <w:r w:rsidR="00533F93" w:rsidRPr="00533F93">
        <w:rPr>
          <w:rStyle w:val="EndnoteReference"/>
          <w:rFonts w:ascii="Calibri" w:eastAsia="Calibri" w:hAnsi="Calibri"/>
        </w:rPr>
        <w:endnoteReference w:id="4"/>
      </w:r>
      <w:r w:rsidR="00533F93" w:rsidRPr="00533F93">
        <w:rPr>
          <w:rStyle w:val="BodyTextChar"/>
          <w:sz w:val="22"/>
          <w:szCs w:val="22"/>
          <w:vertAlign w:val="superscript"/>
        </w:rPr>
        <w:t>,</w:t>
      </w:r>
      <w:bookmarkStart w:id="6" w:name="_Ref164710497"/>
      <w:r w:rsidR="00533F93" w:rsidRPr="00533F93">
        <w:rPr>
          <w:rStyle w:val="EndnoteReference"/>
          <w:rFonts w:ascii="Calibri" w:eastAsia="Calibri" w:hAnsi="Calibri"/>
        </w:rPr>
        <w:endnoteReference w:id="5"/>
      </w:r>
      <w:bookmarkEnd w:id="6"/>
      <w:r w:rsidR="00533F93" w:rsidRPr="00533F93">
        <w:rPr>
          <w:rStyle w:val="BodyTextChar"/>
          <w:sz w:val="22"/>
          <w:szCs w:val="22"/>
          <w:vertAlign w:val="superscript"/>
        </w:rPr>
        <w:t>,</w:t>
      </w:r>
      <w:bookmarkStart w:id="7" w:name="_Ref164710958"/>
      <w:r w:rsidR="00533F93" w:rsidRPr="00533F93">
        <w:rPr>
          <w:rStyle w:val="EndnoteReference"/>
          <w:rFonts w:ascii="Calibri" w:eastAsia="Calibri" w:hAnsi="Calibri"/>
        </w:rPr>
        <w:endnoteReference w:id="6"/>
      </w:r>
      <w:bookmarkEnd w:id="7"/>
      <w:r w:rsidRPr="00533F93">
        <w:rPr>
          <w:rStyle w:val="BodyTextChar"/>
          <w:sz w:val="22"/>
          <w:szCs w:val="22"/>
        </w:rPr>
        <w:t xml:space="preserve"> delays in needed care (e.g., delivery of antibiotics),</w:t>
      </w:r>
      <w:r w:rsidR="00533F93" w:rsidRPr="00533F93">
        <w:rPr>
          <w:rStyle w:val="EndnoteReference"/>
          <w:rFonts w:ascii="Calibri" w:eastAsia="Calibri" w:hAnsi="Calibri"/>
        </w:rPr>
        <w:endnoteReference w:id="7"/>
      </w:r>
      <w:r w:rsidRPr="00533F93">
        <w:rPr>
          <w:rStyle w:val="BodyTextChar"/>
          <w:sz w:val="22"/>
          <w:szCs w:val="22"/>
        </w:rPr>
        <w:t xml:space="preserve"> and negative patient</w:t>
      </w:r>
      <w:r w:rsidR="00533F93" w:rsidRPr="00533F93">
        <w:rPr>
          <w:rStyle w:val="EndnoteReference"/>
          <w:rFonts w:ascii="Calibri" w:eastAsia="Calibri" w:hAnsi="Calibri"/>
        </w:rPr>
        <w:endnoteReference w:id="8"/>
      </w:r>
      <w:r w:rsidRPr="00533F93">
        <w:rPr>
          <w:rStyle w:val="BodyTextChar"/>
          <w:sz w:val="22"/>
          <w:szCs w:val="22"/>
        </w:rPr>
        <w:t xml:space="preserve"> and staff experiences (impacting staff burnout and turnover).</w:t>
      </w:r>
      <w:r w:rsidR="00533F93" w:rsidRPr="00533F93">
        <w:rPr>
          <w:rStyle w:val="EndnoteReference"/>
          <w:rFonts w:ascii="Calibri" w:eastAsia="Calibri" w:hAnsi="Calibri"/>
        </w:rPr>
        <w:endnoteReference w:id="9"/>
      </w:r>
      <w:r w:rsidRPr="00533F93">
        <w:rPr>
          <w:rStyle w:val="BodyTextChar"/>
          <w:sz w:val="22"/>
          <w:szCs w:val="22"/>
        </w:rPr>
        <w:t xml:space="preserve"> Importantly, there are also disparities in boarding, with high acuity black patients and patients with </w:t>
      </w:r>
      <w:r w:rsidR="00BB3C4E">
        <w:rPr>
          <w:rStyle w:val="BodyTextChar"/>
          <w:sz w:val="22"/>
          <w:szCs w:val="22"/>
        </w:rPr>
        <w:t>behavioral</w:t>
      </w:r>
      <w:r w:rsidRPr="00533F93">
        <w:rPr>
          <w:rStyle w:val="BodyTextChar"/>
          <w:sz w:val="22"/>
          <w:szCs w:val="22"/>
        </w:rPr>
        <w:t xml:space="preserve"> health </w:t>
      </w:r>
      <w:r w:rsidR="00BB3C4E">
        <w:rPr>
          <w:rStyle w:val="BodyTextChar"/>
          <w:sz w:val="22"/>
          <w:szCs w:val="22"/>
        </w:rPr>
        <w:t>diagnoses</w:t>
      </w:r>
      <w:r w:rsidRPr="00533F93">
        <w:rPr>
          <w:rStyle w:val="BodyTextChar"/>
          <w:sz w:val="22"/>
          <w:szCs w:val="22"/>
        </w:rPr>
        <w:t xml:space="preserve"> experiencing longer boarding times compared with white patients.</w:t>
      </w:r>
      <w:bookmarkStart w:id="8" w:name="_Ref164710355"/>
      <w:r w:rsidR="00533F93" w:rsidRPr="00533F93">
        <w:rPr>
          <w:rStyle w:val="EndnoteReference"/>
          <w:rFonts w:ascii="Calibri" w:eastAsia="Calibri" w:hAnsi="Calibri"/>
        </w:rPr>
        <w:endnoteReference w:id="10"/>
      </w:r>
      <w:bookmarkEnd w:id="8"/>
      <w:r w:rsidRPr="00533F93">
        <w:rPr>
          <w:rStyle w:val="BodyTextChar"/>
          <w:sz w:val="22"/>
          <w:szCs w:val="22"/>
        </w:rPr>
        <w:t xml:space="preserve"> Although ED boarding is widely reported as a crisis in the lay press,</w:t>
      </w:r>
      <w:r w:rsidR="00533F93" w:rsidRPr="00533F93">
        <w:rPr>
          <w:rStyle w:val="EndnoteReference"/>
          <w:rFonts w:ascii="Calibri" w:eastAsia="Calibri" w:hAnsi="Calibri"/>
        </w:rPr>
        <w:endnoteReference w:id="11"/>
      </w:r>
      <w:r w:rsidRPr="00533F93">
        <w:rPr>
          <w:rStyle w:val="BodyTextChar"/>
          <w:sz w:val="22"/>
          <w:szCs w:val="22"/>
        </w:rPr>
        <w:t xml:space="preserve"> by professional associations,</w:t>
      </w:r>
      <w:r w:rsidR="00533F93" w:rsidRPr="00533F93">
        <w:rPr>
          <w:rStyle w:val="EndnoteReference"/>
          <w:rFonts w:ascii="Calibri" w:eastAsia="Calibri" w:hAnsi="Calibri"/>
        </w:rPr>
        <w:endnoteReference w:id="12"/>
      </w:r>
      <w:r w:rsidRPr="00533F93">
        <w:rPr>
          <w:rStyle w:val="BodyTextChar"/>
          <w:sz w:val="22"/>
          <w:szCs w:val="22"/>
        </w:rPr>
        <w:t xml:space="preserve"> and supported by data from benchmarking groups,</w:t>
      </w:r>
      <w:r w:rsidR="00533F93" w:rsidRPr="00533F93">
        <w:rPr>
          <w:rStyle w:val="EndnoteReference"/>
          <w:rFonts w:ascii="Calibri" w:eastAsia="Calibri" w:hAnsi="Calibri"/>
        </w:rPr>
        <w:endnoteReference w:id="13"/>
      </w:r>
      <w:r w:rsidRPr="00533F93">
        <w:rPr>
          <w:rStyle w:val="BodyTextChar"/>
          <w:sz w:val="22"/>
          <w:szCs w:val="22"/>
        </w:rPr>
        <w:t xml:space="preserve"> there are currently no national measures available to assess boarding; stakeholders have even appealed to the President of the United States for national action to address the problem</w:t>
      </w:r>
      <w:r w:rsidRPr="00533F93">
        <w:t>.</w:t>
      </w:r>
      <w:r w:rsidR="00533F93" w:rsidRPr="00533F93">
        <w:rPr>
          <w:rStyle w:val="EndnoteReference"/>
        </w:rPr>
        <w:endnoteReference w:id="14"/>
      </w:r>
      <w:r w:rsidRPr="00533F93">
        <w:t xml:space="preserve"> At the same time, many locally devised interventions have been shown to be effective in addressing ED boarding and crowding.</w:t>
      </w:r>
    </w:p>
    <w:p w14:paraId="2BE0A8FD" w14:textId="4B2B9BD2" w:rsidR="00A620CE" w:rsidRPr="00D273FE" w:rsidRDefault="00A620CE" w:rsidP="00D273FE">
      <w:pPr>
        <w:pStyle w:val="Heading5"/>
      </w:pPr>
      <w:r>
        <w:t>3.1.1</w:t>
      </w:r>
      <w:r>
        <w:tab/>
        <w:t xml:space="preserve">Logic Model </w:t>
      </w:r>
    </w:p>
    <w:bookmarkEnd w:id="4"/>
    <w:p w14:paraId="00F641F7" w14:textId="53830BC2" w:rsidR="006075B8" w:rsidRDefault="00555D75" w:rsidP="000007B8">
      <w:pPr>
        <w:pStyle w:val="Caption"/>
        <w:rPr>
          <w:i w:val="0"/>
          <w:iCs w:val="0"/>
          <w:color w:val="auto"/>
          <w:sz w:val="22"/>
          <w:szCs w:val="22"/>
        </w:rPr>
      </w:pPr>
      <w:r>
        <w:rPr>
          <w:i w:val="0"/>
          <w:iCs w:val="0"/>
          <w:color w:val="auto"/>
          <w:sz w:val="22"/>
          <w:szCs w:val="22"/>
        </w:rPr>
        <w:lastRenderedPageBreak/>
        <w:fldChar w:fldCharType="begin"/>
      </w:r>
      <w:r>
        <w:rPr>
          <w:i w:val="0"/>
          <w:iCs w:val="0"/>
          <w:color w:val="auto"/>
          <w:sz w:val="22"/>
          <w:szCs w:val="22"/>
        </w:rPr>
        <w:instrText>HYPERLINK  \l "Fig1"</w:instrText>
      </w:r>
      <w:r>
        <w:rPr>
          <w:i w:val="0"/>
          <w:iCs w:val="0"/>
          <w:color w:val="auto"/>
          <w:sz w:val="22"/>
          <w:szCs w:val="22"/>
        </w:rPr>
      </w:r>
      <w:r>
        <w:rPr>
          <w:i w:val="0"/>
          <w:iCs w:val="0"/>
          <w:color w:val="auto"/>
          <w:sz w:val="22"/>
          <w:szCs w:val="22"/>
        </w:rPr>
        <w:fldChar w:fldCharType="separate"/>
      </w:r>
      <w:r w:rsidR="006075B8" w:rsidRPr="00555D75">
        <w:rPr>
          <w:rStyle w:val="Hyperlink"/>
          <w:i w:val="0"/>
          <w:iCs w:val="0"/>
          <w:sz w:val="22"/>
          <w:szCs w:val="22"/>
        </w:rPr>
        <w:t xml:space="preserve">Figure </w:t>
      </w:r>
      <w:r w:rsidR="00533F93" w:rsidRPr="00555D75">
        <w:rPr>
          <w:rStyle w:val="Hyperlink"/>
          <w:i w:val="0"/>
          <w:iCs w:val="0"/>
          <w:sz w:val="22"/>
          <w:szCs w:val="22"/>
        </w:rPr>
        <w:t>1</w:t>
      </w:r>
      <w:r>
        <w:rPr>
          <w:i w:val="0"/>
          <w:iCs w:val="0"/>
          <w:color w:val="auto"/>
          <w:sz w:val="22"/>
          <w:szCs w:val="22"/>
        </w:rPr>
        <w:fldChar w:fldCharType="end"/>
      </w:r>
      <w:r w:rsidR="006075B8" w:rsidRPr="1B174BA5">
        <w:rPr>
          <w:i w:val="0"/>
          <w:iCs w:val="0"/>
          <w:color w:val="auto"/>
          <w:sz w:val="22"/>
          <w:szCs w:val="22"/>
        </w:rPr>
        <w:t xml:space="preserve"> depicts the logic model by which public reporting of the ECCQ eCQM could result in changes in inputs by EDs as well as hospital wide, resulting in improvements in the four components of the ECCQ measure. Hospital wide/system changes will likely play more of a role in improvements in the ED LOS and boarding components, while ED-level changes are more likely to result in improvement in the proportion of visits without a medical screening by a qualified professional and for time to be placed in a treatment space. However, there are opportunities for both EDs and the wider hospital system to contribute to improvement in all four components.</w:t>
      </w:r>
    </w:p>
    <w:p w14:paraId="192C3DFC" w14:textId="6567041D" w:rsidR="006075B8" w:rsidRPr="00DE280C" w:rsidRDefault="00C01319" w:rsidP="00DE280C">
      <w:pPr>
        <w:pStyle w:val="Caption"/>
      </w:pPr>
      <w:bookmarkStart w:id="9" w:name="Fig1"/>
      <w:r>
        <w:t xml:space="preserve">Figure 1: ECCQ Logic </w:t>
      </w:r>
      <w:bookmarkEnd w:id="9"/>
      <w:r>
        <w:t>Model</w:t>
      </w:r>
      <w:r w:rsidR="5CE90C1C">
        <w:rPr>
          <w:noProof/>
        </w:rPr>
        <w:drawing>
          <wp:inline distT="0" distB="0" distL="0" distR="0" wp14:anchorId="655C37EE" wp14:editId="17EE6ABD">
            <wp:extent cx="5943600" cy="4552950"/>
            <wp:effectExtent l="0" t="0" r="0" b="0"/>
            <wp:docPr id="252180248" name="Picture 252180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180248"/>
                    <pic:cNvPicPr/>
                  </pic:nvPicPr>
                  <pic:blipFill>
                    <a:blip r:embed="rId11">
                      <a:extLst>
                        <a:ext uri="{28A0092B-C50C-407E-A947-70E740481C1C}">
                          <a14:useLocalDpi xmlns:a14="http://schemas.microsoft.com/office/drawing/2010/main" val="0"/>
                        </a:ext>
                      </a:extLst>
                    </a:blip>
                    <a:stretch>
                      <a:fillRect/>
                    </a:stretch>
                  </pic:blipFill>
                  <pic:spPr>
                    <a:xfrm>
                      <a:off x="0" y="0"/>
                      <a:ext cx="5943600" cy="4552950"/>
                    </a:xfrm>
                    <a:prstGeom prst="rect">
                      <a:avLst/>
                    </a:prstGeom>
                  </pic:spPr>
                </pic:pic>
              </a:graphicData>
            </a:graphic>
          </wp:inline>
        </w:drawing>
      </w:r>
    </w:p>
    <w:p w14:paraId="2B4C09B1" w14:textId="5B91132F" w:rsidR="00A620CE" w:rsidRDefault="00A620CE" w:rsidP="00D273FE">
      <w:pPr>
        <w:pStyle w:val="Heading5"/>
      </w:pPr>
      <w:r>
        <w:t>3.1.2</w:t>
      </w:r>
      <w:r>
        <w:tab/>
        <w:t xml:space="preserve">Value and Meaningfulness </w:t>
      </w:r>
    </w:p>
    <w:p w14:paraId="09495C5F" w14:textId="4D8052F0" w:rsidR="00A620CE" w:rsidRPr="001E53C7" w:rsidRDefault="6213BE3D" w:rsidP="00794ABA">
      <w:pPr>
        <w:pStyle w:val="BlueprintText"/>
      </w:pPr>
      <w:r>
        <w:t>Not applicable.</w:t>
      </w:r>
    </w:p>
    <w:p w14:paraId="28EF8824" w14:textId="5ABF6EBF" w:rsidR="00A620CE" w:rsidRDefault="00A620CE" w:rsidP="00D273FE">
      <w:pPr>
        <w:pStyle w:val="Heading5"/>
      </w:pPr>
      <w:r>
        <w:t>3.1.3</w:t>
      </w:r>
      <w:r>
        <w:tab/>
        <w:t xml:space="preserve">Empirical Data (for outcome measures) – as applicable </w:t>
      </w:r>
    </w:p>
    <w:p w14:paraId="5BFD29CC" w14:textId="31C8B7F5" w:rsidR="00A620CE" w:rsidRPr="00443D5F" w:rsidRDefault="14ACD677" w:rsidP="00443D5F">
      <w:pPr>
        <w:pStyle w:val="BlueprintText"/>
      </w:pPr>
      <w:r>
        <w:t>Not applicable.</w:t>
      </w:r>
    </w:p>
    <w:p w14:paraId="7224C1B6" w14:textId="77777777" w:rsidR="00A620CE" w:rsidRDefault="00A620CE" w:rsidP="00D273FE">
      <w:pPr>
        <w:pStyle w:val="Heading5"/>
      </w:pPr>
      <w:r>
        <w:t>3.1.4</w:t>
      </w:r>
      <w:r>
        <w:tab/>
      </w:r>
      <w:r w:rsidRPr="000E583C">
        <w:t>Systematic Review of the Evidence (for intermediate outcome, process, or structure</w:t>
      </w:r>
      <w:r>
        <w:t xml:space="preserve"> quality</w:t>
      </w:r>
      <w:r w:rsidRPr="000E583C">
        <w:t xml:space="preserve"> </w:t>
      </w:r>
    </w:p>
    <w:p w14:paraId="3D6C7E9D" w14:textId="2F3047DB" w:rsidR="00A620CE" w:rsidRPr="00A92DE1" w:rsidRDefault="00A620CE" w:rsidP="00E047A3">
      <w:pPr>
        <w:pStyle w:val="ListBullet"/>
        <w:numPr>
          <w:ilvl w:val="0"/>
          <w:numId w:val="0"/>
        </w:numPr>
        <w:ind w:left="360"/>
      </w:pPr>
      <w:r w:rsidRPr="00A92DE1">
        <w:rPr>
          <w:rFonts w:ascii="Segoe UI Symbol" w:hAnsi="Segoe UI Symbol" w:cs="Segoe UI Symbol"/>
        </w:rPr>
        <w:t>☐</w:t>
      </w:r>
      <w:r w:rsidRPr="00A92DE1">
        <w:t>Clinical Practice Guideline recommendation (with evidence review)</w:t>
      </w:r>
    </w:p>
    <w:p w14:paraId="0642284D" w14:textId="139BADDD" w:rsidR="00A620CE" w:rsidRPr="00A92DE1" w:rsidRDefault="00A620CE" w:rsidP="00A4036D">
      <w:pPr>
        <w:pStyle w:val="ListBullet"/>
        <w:numPr>
          <w:ilvl w:val="0"/>
          <w:numId w:val="0"/>
        </w:numPr>
        <w:ind w:left="360"/>
      </w:pPr>
      <w:r w:rsidRPr="00A92DE1">
        <w:rPr>
          <w:rFonts w:ascii="Segoe UI Symbol" w:hAnsi="Segoe UI Symbol" w:cs="Segoe UI Symbol"/>
        </w:rPr>
        <w:t>☐</w:t>
      </w:r>
      <w:r w:rsidRPr="00A92DE1">
        <w:t>USPSTF recommendation</w:t>
      </w:r>
    </w:p>
    <w:p w14:paraId="3310CE97" w14:textId="35657253" w:rsidR="00A620CE" w:rsidRPr="00A92DE1" w:rsidRDefault="00A620CE" w:rsidP="00A4036D">
      <w:pPr>
        <w:pStyle w:val="ListBullet"/>
        <w:numPr>
          <w:ilvl w:val="0"/>
          <w:numId w:val="0"/>
        </w:numPr>
        <w:ind w:left="360"/>
      </w:pPr>
      <w:r w:rsidRPr="00A92DE1">
        <w:rPr>
          <w:rFonts w:ascii="Segoe UI Symbol" w:hAnsi="Segoe UI Symbol" w:cs="Segoe UI Symbol"/>
        </w:rPr>
        <w:lastRenderedPageBreak/>
        <w:t>☐</w:t>
      </w:r>
      <w:r w:rsidRPr="00A92DE1">
        <w:t xml:space="preserve">other systematic review and grading of the body of evidence (e.g., Cochrane Collaboration, </w:t>
      </w:r>
      <w:hyperlink r:id="rId12" w:history="1">
        <w:r w:rsidRPr="00A92DE1">
          <w:rPr>
            <w:rStyle w:val="Hyperlink"/>
          </w:rPr>
          <w:t>AHRQ Evidence-based Practice Centers</w:t>
        </w:r>
      </w:hyperlink>
      <w:r w:rsidRPr="00A92DE1">
        <w:rPr>
          <w:noProof/>
        </w:rPr>
        <w:drawing>
          <wp:inline distT="0" distB="0" distL="0" distR="0" wp14:anchorId="3B02B953" wp14:editId="32774F6D">
            <wp:extent cx="133350" cy="133350"/>
            <wp:effectExtent l="0" t="0" r="0" b="0"/>
            <wp:docPr id="13" name="Picture 13" descr="External link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ternal link icon"/>
                    <pic:cNvPicPr>
                      <a:picLocks noChangeAspect="1" noChangeArrowheads="1"/>
                    </pic:cNvPicPr>
                  </pic:nvPicPr>
                  <pic:blipFill>
                    <a:blip r:embed="rId13" r:link="rId14" cstate="print">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A92DE1">
        <w:t>)</w:t>
      </w:r>
    </w:p>
    <w:p w14:paraId="3D9E52C6" w14:textId="6196BDBF" w:rsidR="00A620CE" w:rsidRPr="00A92DE1" w:rsidRDefault="00D95B04" w:rsidP="00E047A3">
      <w:pPr>
        <w:pStyle w:val="ListBullet"/>
        <w:numPr>
          <w:ilvl w:val="0"/>
          <w:numId w:val="0"/>
        </w:numPr>
        <w:ind w:left="360"/>
        <w:rPr>
          <w:b/>
          <w:bCs/>
        </w:rPr>
      </w:pPr>
      <w:sdt>
        <w:sdtPr>
          <w:rPr>
            <w:rFonts w:ascii="Segoe UI Symbol" w:hAnsi="Segoe UI Symbol" w:cs="Segoe UI Symbol"/>
            <w:b/>
            <w:bCs/>
          </w:rPr>
          <w:id w:val="-1746252364"/>
          <w14:checkbox>
            <w14:checked w14:val="1"/>
            <w14:checkedState w14:val="2612" w14:font="MS Gothic"/>
            <w14:uncheckedState w14:val="2610" w14:font="MS Gothic"/>
          </w14:checkbox>
        </w:sdtPr>
        <w:sdtEndPr/>
        <w:sdtContent>
          <w:r w:rsidR="00A92DE1" w:rsidRPr="00A92DE1">
            <w:rPr>
              <w:rFonts w:ascii="MS Gothic" w:eastAsia="MS Gothic" w:hAnsi="MS Gothic" w:cs="Segoe UI Symbol" w:hint="eastAsia"/>
              <w:b/>
              <w:bCs/>
            </w:rPr>
            <w:t>☒</w:t>
          </w:r>
        </w:sdtContent>
      </w:sdt>
      <w:r w:rsidR="00A620CE" w:rsidRPr="00A92DE1">
        <w:rPr>
          <w:b/>
          <w:bCs/>
        </w:rPr>
        <w:t>other</w:t>
      </w:r>
    </w:p>
    <w:p w14:paraId="20E9AAE5" w14:textId="690E5EF9" w:rsidR="00A620CE" w:rsidRDefault="00A620CE" w:rsidP="00D273FE">
      <w:pPr>
        <w:pStyle w:val="Heading5"/>
      </w:pPr>
      <w:r>
        <w:t>3.1.5</w:t>
      </w:r>
      <w:r>
        <w:tab/>
        <w:t xml:space="preserve">Other Source of Evidence – as </w:t>
      </w:r>
      <w:r w:rsidRPr="0067225E">
        <w:t xml:space="preserve">applicable </w:t>
      </w:r>
    </w:p>
    <w:p w14:paraId="3F4DDF3E" w14:textId="638854BA" w:rsidR="00A620CE" w:rsidRPr="00033DF2" w:rsidRDefault="00033DF2" w:rsidP="00794ABA">
      <w:pPr>
        <w:pStyle w:val="BlueprintText"/>
      </w:pPr>
      <w:r w:rsidRPr="00A92DE1">
        <w:t>An environmental scan and literature review provided evidence from peer-reviewed literature</w:t>
      </w:r>
      <w:r w:rsidR="00D22DD5" w:rsidRPr="00A92DE1">
        <w:t xml:space="preserve"> and </w:t>
      </w:r>
      <w:r w:rsidR="00217104" w:rsidRPr="00A92DE1">
        <w:t>standards of practice</w:t>
      </w:r>
      <w:r w:rsidR="00A92DE1">
        <w:t xml:space="preserve"> from a range of sources</w:t>
      </w:r>
      <w:r w:rsidR="00976FCF" w:rsidRPr="00A92DE1">
        <w:t>.</w:t>
      </w:r>
      <w:r w:rsidR="00976FCF">
        <w:t xml:space="preserve"> </w:t>
      </w:r>
    </w:p>
    <w:p w14:paraId="297A3560" w14:textId="5214079C" w:rsidR="00A620CE" w:rsidRPr="00D273FE" w:rsidRDefault="00A620CE" w:rsidP="00D273FE">
      <w:pPr>
        <w:pStyle w:val="Heading6"/>
      </w:pPr>
      <w:r w:rsidRPr="00D273FE">
        <w:t>3.1.5.1</w:t>
      </w:r>
      <w:r w:rsidRPr="00D273FE">
        <w:tab/>
        <w:t xml:space="preserve">Briefly Synthesize the Evidence </w:t>
      </w:r>
    </w:p>
    <w:p w14:paraId="1761F6E1" w14:textId="7E65F73B" w:rsidR="00A92DE1" w:rsidRPr="00A92DE1" w:rsidRDefault="00A92DE1" w:rsidP="00727155">
      <w:pPr>
        <w:rPr>
          <w:b/>
          <w:bCs/>
        </w:rPr>
      </w:pPr>
      <w:r w:rsidRPr="00A92DE1">
        <w:rPr>
          <w:b/>
          <w:bCs/>
        </w:rPr>
        <w:t>Capacity Metrics: Descriptions and Definitions</w:t>
      </w:r>
    </w:p>
    <w:p w14:paraId="299E9863" w14:textId="670632DE" w:rsidR="00A92DE1" w:rsidRPr="00A92DE1" w:rsidRDefault="00A92DE1" w:rsidP="00727155">
      <w:r w:rsidRPr="00A92DE1">
        <w:t>There are extensive options for measuring ED crowding and boarding, and the differences in measurement highlight the challenges including definition and measured outcomes</w:t>
      </w:r>
      <w:r w:rsidR="007D5221">
        <w:t>.</w:t>
      </w:r>
      <w:r w:rsidR="0049518B" w:rsidRPr="0049518B">
        <w:rPr>
          <w:vertAlign w:val="superscript"/>
        </w:rPr>
        <w:fldChar w:fldCharType="begin"/>
      </w:r>
      <w:r w:rsidR="0049518B" w:rsidRPr="0049518B">
        <w:rPr>
          <w:vertAlign w:val="superscript"/>
        </w:rPr>
        <w:instrText xml:space="preserve"> NOTEREF _Ref164710355 \h </w:instrText>
      </w:r>
      <w:r w:rsidR="0049518B">
        <w:rPr>
          <w:vertAlign w:val="superscript"/>
        </w:rPr>
        <w:instrText xml:space="preserve"> \* MERGEFORMAT </w:instrText>
      </w:r>
      <w:r w:rsidR="0049518B" w:rsidRPr="0049518B">
        <w:rPr>
          <w:vertAlign w:val="superscript"/>
        </w:rPr>
      </w:r>
      <w:r w:rsidR="0049518B" w:rsidRPr="0049518B">
        <w:rPr>
          <w:vertAlign w:val="superscript"/>
        </w:rPr>
        <w:fldChar w:fldCharType="separate"/>
      </w:r>
      <w:r w:rsidR="0049518B" w:rsidRPr="0049518B">
        <w:rPr>
          <w:vertAlign w:val="superscript"/>
        </w:rPr>
        <w:t>10</w:t>
      </w:r>
      <w:r w:rsidR="0049518B" w:rsidRPr="0049518B">
        <w:rPr>
          <w:vertAlign w:val="superscript"/>
        </w:rPr>
        <w:fldChar w:fldCharType="end"/>
      </w:r>
      <w:r w:rsidR="0049518B" w:rsidRPr="0049518B">
        <w:rPr>
          <w:vertAlign w:val="superscript"/>
        </w:rPr>
        <w:t>,</w:t>
      </w:r>
      <w:r w:rsidR="007D5221" w:rsidRPr="007D5221">
        <w:rPr>
          <w:rStyle w:val="EndnoteReference"/>
        </w:rPr>
        <w:endnoteReference w:id="15"/>
      </w:r>
      <w:r w:rsidR="007D5221" w:rsidRPr="007D5221">
        <w:rPr>
          <w:vertAlign w:val="superscript"/>
        </w:rPr>
        <w:t>,</w:t>
      </w:r>
      <w:r w:rsidR="007D5221" w:rsidRPr="007D5221">
        <w:rPr>
          <w:rStyle w:val="EndnoteReference"/>
        </w:rPr>
        <w:endnoteReference w:id="16"/>
      </w:r>
      <w:r w:rsidR="007D5221" w:rsidRPr="007D5221">
        <w:rPr>
          <w:vertAlign w:val="superscript"/>
        </w:rPr>
        <w:t>,</w:t>
      </w:r>
      <w:r w:rsidR="007D5221" w:rsidRPr="007D5221">
        <w:rPr>
          <w:rStyle w:val="EndnoteReference"/>
        </w:rPr>
        <w:endnoteReference w:id="17"/>
      </w:r>
      <w:r w:rsidR="007D5221" w:rsidRPr="007D5221">
        <w:rPr>
          <w:vertAlign w:val="superscript"/>
        </w:rPr>
        <w:t>,</w:t>
      </w:r>
      <w:r w:rsidR="0049518B" w:rsidRPr="007D5221">
        <w:rPr>
          <w:vertAlign w:val="superscript"/>
        </w:rPr>
        <w:t xml:space="preserve"> </w:t>
      </w:r>
      <w:r w:rsidR="007D5221" w:rsidRPr="007D5221">
        <w:rPr>
          <w:vertAlign w:val="superscript"/>
        </w:rPr>
        <w:t>,</w:t>
      </w:r>
      <w:bookmarkStart w:id="10" w:name="_Ref164709729"/>
      <w:r w:rsidR="007D5221" w:rsidRPr="007D5221">
        <w:rPr>
          <w:rStyle w:val="EndnoteReference"/>
        </w:rPr>
        <w:endnoteReference w:id="18"/>
      </w:r>
      <w:bookmarkEnd w:id="10"/>
      <w:r w:rsidR="007D5221" w:rsidRPr="007D5221">
        <w:rPr>
          <w:vertAlign w:val="superscript"/>
        </w:rPr>
        <w:t>,</w:t>
      </w:r>
      <w:r w:rsidR="007D5221" w:rsidRPr="007D5221">
        <w:rPr>
          <w:rStyle w:val="EndnoteReference"/>
        </w:rPr>
        <w:endnoteReference w:id="19"/>
      </w:r>
      <w:r w:rsidR="007D5221" w:rsidRPr="007D5221">
        <w:rPr>
          <w:vertAlign w:val="superscript"/>
        </w:rPr>
        <w:t>,</w:t>
      </w:r>
      <w:bookmarkStart w:id="11" w:name="_Ref164694048"/>
      <w:r w:rsidR="007D5221" w:rsidRPr="007D5221">
        <w:rPr>
          <w:rStyle w:val="EndnoteReference"/>
        </w:rPr>
        <w:endnoteReference w:id="20"/>
      </w:r>
      <w:bookmarkEnd w:id="11"/>
      <w:r w:rsidR="007D5221" w:rsidRPr="007D5221">
        <w:rPr>
          <w:vertAlign w:val="superscript"/>
        </w:rPr>
        <w:t>,</w:t>
      </w:r>
      <w:r w:rsidR="007D5221" w:rsidRPr="007D5221">
        <w:rPr>
          <w:rStyle w:val="EndnoteReference"/>
        </w:rPr>
        <w:endnoteReference w:id="21"/>
      </w:r>
      <w:r w:rsidR="007D5221" w:rsidRPr="007D5221">
        <w:rPr>
          <w:vertAlign w:val="superscript"/>
        </w:rPr>
        <w:t>,</w:t>
      </w:r>
      <w:r w:rsidR="007D5221" w:rsidRPr="007D5221">
        <w:rPr>
          <w:rStyle w:val="EndnoteReference"/>
        </w:rPr>
        <w:endnoteReference w:id="22"/>
      </w:r>
      <w:r w:rsidR="007D5221" w:rsidRPr="007D5221">
        <w:rPr>
          <w:vertAlign w:val="superscript"/>
        </w:rPr>
        <w:t>,</w:t>
      </w:r>
      <w:r w:rsidR="007D5221" w:rsidRPr="007D5221">
        <w:rPr>
          <w:rStyle w:val="EndnoteReference"/>
        </w:rPr>
        <w:endnoteReference w:id="23"/>
      </w:r>
      <w:r w:rsidR="007D5221" w:rsidRPr="007D5221">
        <w:rPr>
          <w:vertAlign w:val="superscript"/>
        </w:rPr>
        <w:t>,</w:t>
      </w:r>
      <w:r w:rsidR="007D5221" w:rsidRPr="007D5221">
        <w:rPr>
          <w:rStyle w:val="EndnoteReference"/>
        </w:rPr>
        <w:endnoteReference w:id="24"/>
      </w:r>
      <w:r w:rsidRPr="00A92DE1">
        <w:t xml:space="preserve"> Furthermore, the research included in this literature review was predominately retrospective and the ED is a dynamic, rapidly changing setting, even minute to minute in each ED, which further highlights these measurement challenges.</w:t>
      </w:r>
      <w:r w:rsidRPr="00A92DE1">
        <w:rPr>
          <w:rFonts w:ascii="Calibri" w:eastAsia="Calibri" w:hAnsi="Calibri" w:cs="Calibri"/>
          <w:lang w:bidi="en-US"/>
        </w:rPr>
        <w:t xml:space="preserve"> ).</w:t>
      </w:r>
    </w:p>
    <w:p w14:paraId="6F0BD5C5" w14:textId="77777777" w:rsidR="00727155" w:rsidRPr="00727155" w:rsidRDefault="00727155" w:rsidP="00727155">
      <w:pPr>
        <w:rPr>
          <w:b/>
          <w:bCs/>
        </w:rPr>
      </w:pPr>
      <w:r w:rsidRPr="00727155">
        <w:rPr>
          <w:b/>
          <w:bCs/>
        </w:rPr>
        <w:t>Harm</w:t>
      </w:r>
    </w:p>
    <w:p w14:paraId="3414E75F" w14:textId="7E09A616" w:rsidR="00727155" w:rsidRDefault="00727155" w:rsidP="00727155">
      <w:r>
        <w:t xml:space="preserve">ED boarding and crowding are important public health issues that have been associated with various adverse events, most </w:t>
      </w:r>
      <w:r w:rsidR="0CB8959A">
        <w:t>concerning</w:t>
      </w:r>
      <w:r>
        <w:t xml:space="preserve"> patient outcomes, though some mixed evidence on mortality has been published. Adverse events and harms identified in this literature review include mortality (in-hospital, 10- and 30- day mortality), delay in antibiotic administration, delay in medication administration, higher complication rates, poor patient experience and satisfaction, and generally poorer quality of care.</w:t>
      </w:r>
      <w:r w:rsidR="00947A09" w:rsidRPr="00947A09">
        <w:rPr>
          <w:vertAlign w:val="superscript"/>
        </w:rPr>
        <w:fldChar w:fldCharType="begin"/>
      </w:r>
      <w:r w:rsidR="00947A09" w:rsidRPr="00947A09">
        <w:rPr>
          <w:vertAlign w:val="superscript"/>
        </w:rPr>
        <w:instrText xml:space="preserve"> NOTEREF _Ref164709308 \h  \* MERGEFORMAT </w:instrText>
      </w:r>
      <w:r w:rsidR="00947A09" w:rsidRPr="00947A09">
        <w:rPr>
          <w:vertAlign w:val="superscript"/>
        </w:rPr>
      </w:r>
      <w:r w:rsidR="00947A09" w:rsidRPr="00947A09">
        <w:rPr>
          <w:vertAlign w:val="superscript"/>
        </w:rPr>
        <w:fldChar w:fldCharType="separate"/>
      </w:r>
      <w:r w:rsidR="00947A09" w:rsidRPr="00947A09">
        <w:rPr>
          <w:vertAlign w:val="superscript"/>
        </w:rPr>
        <w:t>2</w:t>
      </w:r>
      <w:r w:rsidR="00947A09" w:rsidRPr="00947A09">
        <w:rPr>
          <w:vertAlign w:val="superscript"/>
        </w:rPr>
        <w:fldChar w:fldCharType="end"/>
      </w:r>
      <w:r w:rsidR="00947A09" w:rsidRPr="00947A09">
        <w:rPr>
          <w:vertAlign w:val="superscript"/>
        </w:rPr>
        <w:t>,</w:t>
      </w:r>
      <w:r w:rsidR="007D5221" w:rsidRPr="00947A09">
        <w:rPr>
          <w:rStyle w:val="EndnoteReference"/>
        </w:rPr>
        <w:endnoteReference w:id="25"/>
      </w:r>
      <w:r w:rsidR="007D5221" w:rsidRPr="00947A09">
        <w:rPr>
          <w:vertAlign w:val="superscript"/>
        </w:rPr>
        <w:t>,</w:t>
      </w:r>
      <w:r w:rsidR="007D5221" w:rsidRPr="00947A09">
        <w:rPr>
          <w:rStyle w:val="EndnoteReference"/>
        </w:rPr>
        <w:endnoteReference w:id="26"/>
      </w:r>
      <w:r w:rsidR="00947A09" w:rsidRPr="007D5221">
        <w:rPr>
          <w:vertAlign w:val="superscript"/>
        </w:rPr>
        <w:t xml:space="preserve"> </w:t>
      </w:r>
      <w:r w:rsidR="007D5221" w:rsidRPr="007D5221">
        <w:rPr>
          <w:vertAlign w:val="superscript"/>
        </w:rPr>
        <w:t>,</w:t>
      </w:r>
      <w:bookmarkStart w:id="12" w:name="_Ref164710465"/>
      <w:r w:rsidR="007D5221" w:rsidRPr="007D5221">
        <w:rPr>
          <w:rStyle w:val="EndnoteReference"/>
        </w:rPr>
        <w:endnoteReference w:id="27"/>
      </w:r>
      <w:bookmarkEnd w:id="12"/>
      <w:r w:rsidR="007D5221" w:rsidRPr="007D5221">
        <w:rPr>
          <w:vertAlign w:val="superscript"/>
        </w:rPr>
        <w:t>,</w:t>
      </w:r>
      <w:r w:rsidR="007D5221" w:rsidRPr="007D5221">
        <w:rPr>
          <w:rStyle w:val="EndnoteReference"/>
        </w:rPr>
        <w:endnoteReference w:id="28"/>
      </w:r>
      <w:r w:rsidR="007D5221" w:rsidRPr="007D5221">
        <w:rPr>
          <w:vertAlign w:val="superscript"/>
        </w:rPr>
        <w:t>,</w:t>
      </w:r>
      <w:bookmarkStart w:id="13" w:name="_Ref164694392"/>
      <w:r w:rsidR="007D5221" w:rsidRPr="007D5221">
        <w:rPr>
          <w:rStyle w:val="EndnoteReference"/>
        </w:rPr>
        <w:endnoteReference w:id="29"/>
      </w:r>
      <w:bookmarkEnd w:id="13"/>
      <w:r w:rsidR="007D5221" w:rsidRPr="007D5221">
        <w:rPr>
          <w:vertAlign w:val="superscript"/>
        </w:rPr>
        <w:t>,</w:t>
      </w:r>
      <w:r w:rsidR="007D5221" w:rsidRPr="007D5221">
        <w:rPr>
          <w:rStyle w:val="EndnoteReference"/>
        </w:rPr>
        <w:endnoteReference w:id="30"/>
      </w:r>
    </w:p>
    <w:p w14:paraId="7AB71809" w14:textId="77777777" w:rsidR="00727155" w:rsidRPr="00727155" w:rsidRDefault="00727155" w:rsidP="00727155">
      <w:pPr>
        <w:rPr>
          <w:b/>
          <w:bCs/>
        </w:rPr>
      </w:pPr>
      <w:r w:rsidRPr="00727155">
        <w:rPr>
          <w:b/>
          <w:bCs/>
        </w:rPr>
        <w:t>Health Equity: Special Populations</w:t>
      </w:r>
    </w:p>
    <w:p w14:paraId="7F52BD49" w14:textId="126DD414" w:rsidR="00727155" w:rsidRDefault="00727155" w:rsidP="00727155">
      <w:r>
        <w:t>Many of the barriers to providing high quality care for behavioral health patients are acutely exacerbated in crowded clinical settings. For example, limited space, limited time, and “difficulty differentiating between psychiatric illness and social disorganization” can all become more complicated to address during times of boarding</w:t>
      </w:r>
      <w:r w:rsidR="00A35272">
        <w:t>.</w:t>
      </w:r>
      <w:r w:rsidR="00A35272">
        <w:rPr>
          <w:rStyle w:val="EndnoteReference"/>
        </w:rPr>
        <w:endnoteReference w:id="31"/>
      </w:r>
    </w:p>
    <w:p w14:paraId="243484AB" w14:textId="7900FDE3" w:rsidR="00727155" w:rsidRDefault="00727155" w:rsidP="00727155">
      <w:r>
        <w:t>Although numerous harms are particularly relevant to the care received by older patients in emergency departments, the impact of delirium is noteworthy among these harms, with “between 6% and 38% of older ED adults [having] incident delirium, defined as new development of delirium after arrival [in the ED]”, and has also been associated with a host of other serious harms, including increased length of hospitalization and decreased independence and cognitive function</w:t>
      </w:r>
      <w:r w:rsidR="00A35272">
        <w:t>.</w:t>
      </w:r>
      <w:r w:rsidR="00A35272" w:rsidRPr="00A35272">
        <w:rPr>
          <w:rStyle w:val="EndnoteReference"/>
        </w:rPr>
        <w:endnoteReference w:id="32"/>
      </w:r>
    </w:p>
    <w:p w14:paraId="0DD2645F" w14:textId="1054CB58" w:rsidR="00727155" w:rsidRPr="0056136F" w:rsidRDefault="00727155" w:rsidP="00727155">
      <w:r>
        <w:t>Additionally, disparities in care have been noted among patients who are assigned a lower triage acuity level during times of ED crowding and among Black patients who are boarded for a psychiatric admission</w:t>
      </w:r>
      <w:r w:rsidR="00A35272">
        <w:t>.</w:t>
      </w:r>
      <w:r w:rsidR="00947A09" w:rsidRPr="00947A09">
        <w:rPr>
          <w:vertAlign w:val="superscript"/>
        </w:rPr>
        <w:fldChar w:fldCharType="begin"/>
      </w:r>
      <w:r w:rsidR="00947A09" w:rsidRPr="00947A09">
        <w:rPr>
          <w:vertAlign w:val="superscript"/>
        </w:rPr>
        <w:instrText xml:space="preserve"> NOTEREF _Ref164710355 \h  \* MERGEFORMAT </w:instrText>
      </w:r>
      <w:r w:rsidR="00947A09" w:rsidRPr="00947A09">
        <w:rPr>
          <w:vertAlign w:val="superscript"/>
        </w:rPr>
      </w:r>
      <w:r w:rsidR="00947A09" w:rsidRPr="00947A09">
        <w:rPr>
          <w:vertAlign w:val="superscript"/>
        </w:rPr>
        <w:fldChar w:fldCharType="separate"/>
      </w:r>
      <w:r w:rsidR="00947A09" w:rsidRPr="00947A09">
        <w:rPr>
          <w:vertAlign w:val="superscript"/>
        </w:rPr>
        <w:t>10</w:t>
      </w:r>
      <w:r w:rsidR="00947A09" w:rsidRPr="00947A09">
        <w:rPr>
          <w:vertAlign w:val="superscript"/>
        </w:rPr>
        <w:fldChar w:fldCharType="end"/>
      </w:r>
      <w:r w:rsidR="00A35272">
        <w:rPr>
          <w:vertAlign w:val="superscript"/>
        </w:rPr>
        <w:t>,</w:t>
      </w:r>
      <w:r w:rsidR="00A35272">
        <w:rPr>
          <w:rStyle w:val="EndnoteReference"/>
        </w:rPr>
        <w:endnoteReference w:id="33"/>
      </w:r>
    </w:p>
    <w:p w14:paraId="2131041E" w14:textId="77777777" w:rsidR="00727155" w:rsidRPr="00727155" w:rsidRDefault="00727155" w:rsidP="00727155">
      <w:pPr>
        <w:rPr>
          <w:b/>
          <w:bCs/>
        </w:rPr>
      </w:pPr>
      <w:r w:rsidRPr="00727155">
        <w:rPr>
          <w:b/>
          <w:bCs/>
        </w:rPr>
        <w:t>Interventions</w:t>
      </w:r>
    </w:p>
    <w:p w14:paraId="3937CA57" w14:textId="5024A64B" w:rsidR="00727155" w:rsidRDefault="00727155" w:rsidP="00727155">
      <w:r>
        <w:t xml:space="preserve">Various and extensive interventions are cited covering different processes, clinical care access points, and creative methods of tending to the ever-growing ED boarding problem; some examples of interventions that have been considered include care transitions, point-of-care testing, observation </w:t>
      </w:r>
      <w:r>
        <w:lastRenderedPageBreak/>
        <w:t>units, streaming, short-stay units, or administrative or organizational improvements.</w:t>
      </w:r>
      <w:r w:rsidR="00A35272" w:rsidRPr="00A35272">
        <w:rPr>
          <w:rStyle w:val="EndnoteReference"/>
        </w:rPr>
        <w:endnoteReference w:id="34"/>
      </w:r>
      <w:r w:rsidR="00A35272" w:rsidRPr="00A35272">
        <w:rPr>
          <w:vertAlign w:val="superscript"/>
        </w:rPr>
        <w:t>,</w:t>
      </w:r>
      <w:r w:rsidR="00A35272" w:rsidRPr="00A35272">
        <w:rPr>
          <w:rStyle w:val="EndnoteReference"/>
        </w:rPr>
        <w:endnoteReference w:id="35"/>
      </w:r>
      <w:r w:rsidR="00A35272" w:rsidRPr="00A35272">
        <w:rPr>
          <w:vertAlign w:val="superscript"/>
        </w:rPr>
        <w:t>,</w:t>
      </w:r>
      <w:r w:rsidR="00A35272">
        <w:rPr>
          <w:rStyle w:val="EndnoteReference"/>
        </w:rPr>
        <w:endnoteReference w:id="36"/>
      </w:r>
      <w:r>
        <w:t xml:space="preserve"> Other studies suggest specific direction including strengthening triage and ED teams, creating new care zones, or use of capacity protocols.</w:t>
      </w:r>
      <w:r w:rsidR="00A35272">
        <w:rPr>
          <w:rStyle w:val="EndnoteReference"/>
        </w:rPr>
        <w:endnoteReference w:id="37"/>
      </w:r>
      <w:r>
        <w:t xml:space="preserve"> Several studies also cite the benefit of adding ED staffing, such as an additional ED physician per shift, or adding nurse practitioner or primary care physician to staff to manage less emergent cases.</w:t>
      </w:r>
      <w:r w:rsidR="00A35272" w:rsidRPr="00A35272">
        <w:rPr>
          <w:vertAlign w:val="superscript"/>
        </w:rPr>
        <w:fldChar w:fldCharType="begin"/>
      </w:r>
      <w:r w:rsidR="00A35272" w:rsidRPr="00A35272">
        <w:rPr>
          <w:vertAlign w:val="superscript"/>
        </w:rPr>
        <w:instrText xml:space="preserve"> NOTEREF _Ref164693713 \h </w:instrText>
      </w:r>
      <w:r w:rsidR="00A35272">
        <w:rPr>
          <w:vertAlign w:val="superscript"/>
        </w:rPr>
        <w:instrText xml:space="preserve"> \* MERGEFORMAT </w:instrText>
      </w:r>
      <w:r w:rsidR="00A35272" w:rsidRPr="00A35272">
        <w:rPr>
          <w:vertAlign w:val="superscript"/>
        </w:rPr>
      </w:r>
      <w:r w:rsidR="00A35272" w:rsidRPr="00A35272">
        <w:rPr>
          <w:vertAlign w:val="superscript"/>
        </w:rPr>
        <w:fldChar w:fldCharType="separate"/>
      </w:r>
      <w:r w:rsidR="00A35272" w:rsidRPr="00A35272">
        <w:rPr>
          <w:vertAlign w:val="superscript"/>
        </w:rPr>
        <w:t>38</w:t>
      </w:r>
      <w:r w:rsidR="00A35272" w:rsidRPr="00A35272">
        <w:rPr>
          <w:vertAlign w:val="superscript"/>
        </w:rPr>
        <w:fldChar w:fldCharType="end"/>
      </w:r>
      <w:r w:rsidRPr="716949C2">
        <w:rPr>
          <w:vertAlign w:val="superscript"/>
        </w:rPr>
        <w:t xml:space="preserve"> </w:t>
      </w:r>
      <w:r>
        <w:t>Other studies cite different points of care to enact change; one study assessed telehealth to manage non-critical emergencies in rural settings to reduce unnecessary patient transfer and increasing capacity of ED staff to diagnose and manage patients locally; another study employed a nurse navigator to assist in decreased turnaround time for EMS.</w:t>
      </w:r>
      <w:r w:rsidR="00A35272" w:rsidRPr="00A35272">
        <w:rPr>
          <w:rStyle w:val="EndnoteReference"/>
        </w:rPr>
        <w:endnoteReference w:id="38"/>
      </w:r>
      <w:r w:rsidR="00A35272" w:rsidRPr="00A35272">
        <w:rPr>
          <w:vertAlign w:val="superscript"/>
        </w:rPr>
        <w:t>,</w:t>
      </w:r>
      <w:r w:rsidR="00A35272" w:rsidRPr="00A35272">
        <w:rPr>
          <w:rStyle w:val="EndnoteReference"/>
        </w:rPr>
        <w:endnoteReference w:id="39"/>
      </w:r>
    </w:p>
    <w:p w14:paraId="529F7772" w14:textId="2448E2B1" w:rsidR="00A620CE" w:rsidRPr="0067225E" w:rsidRDefault="00A620CE" w:rsidP="00D273FE">
      <w:pPr>
        <w:pStyle w:val="Heading6"/>
      </w:pPr>
      <w:r>
        <w:t>3.1.5.2</w:t>
      </w:r>
      <w:r>
        <w:tab/>
        <w:t xml:space="preserve">Process Used to Identify the Evidence </w:t>
      </w:r>
    </w:p>
    <w:p w14:paraId="45F921A8" w14:textId="1D587C1E" w:rsidR="00A620CE" w:rsidRPr="00D633DB" w:rsidRDefault="14ACD677" w:rsidP="00794ABA">
      <w:pPr>
        <w:pStyle w:val="BlueprintText"/>
      </w:pPr>
      <w:r>
        <w:t>Not applicable.</w:t>
      </w:r>
    </w:p>
    <w:p w14:paraId="4C822EA0" w14:textId="1F48FF50" w:rsidR="00A620CE" w:rsidRPr="0067225E" w:rsidRDefault="00A620CE" w:rsidP="00D273FE">
      <w:pPr>
        <w:pStyle w:val="Heading6"/>
      </w:pPr>
      <w:r>
        <w:t>3.1.5.3</w:t>
      </w:r>
      <w:r>
        <w:tab/>
        <w:t xml:space="preserve">Citation(s) for the </w:t>
      </w:r>
      <w:r w:rsidRPr="0067225E">
        <w:t xml:space="preserve">Evidence </w:t>
      </w:r>
    </w:p>
    <w:p w14:paraId="0EA1B5D6" w14:textId="1A67413B" w:rsidR="00A620CE" w:rsidRPr="00D22DD5" w:rsidRDefault="4CC6195C" w:rsidP="004C711D">
      <w:pPr>
        <w:pStyle w:val="BlueprintText"/>
      </w:pPr>
      <w:r>
        <w:t>Not applicable.</w:t>
      </w:r>
    </w:p>
    <w:p w14:paraId="38CFDD20" w14:textId="6E3D1271" w:rsidR="00A620CE" w:rsidRPr="000E583C" w:rsidRDefault="00A620CE" w:rsidP="00D273FE">
      <w:pPr>
        <w:pStyle w:val="Heading4"/>
      </w:pPr>
      <w:r>
        <w:t>3.2</w:t>
      </w:r>
      <w:r>
        <w:tab/>
      </w:r>
      <w:r w:rsidRPr="000E583C">
        <w:t xml:space="preserve">Performance Gap – Opportunity for Improvement </w:t>
      </w:r>
    </w:p>
    <w:p w14:paraId="1962E2DA" w14:textId="079F7AEC" w:rsidR="00A620CE" w:rsidRDefault="00A620CE" w:rsidP="00D273FE">
      <w:pPr>
        <w:pStyle w:val="Heading5"/>
      </w:pPr>
      <w:r w:rsidRPr="00B357FB">
        <w:t>3.2.1</w:t>
      </w:r>
      <w:r w:rsidRPr="00B357FB">
        <w:tab/>
        <w:t>Rationale</w:t>
      </w:r>
      <w:r>
        <w:t xml:space="preserve"> </w:t>
      </w:r>
    </w:p>
    <w:p w14:paraId="6FDE59AA" w14:textId="1CC40F9A" w:rsidR="00C90FC7" w:rsidRDefault="00C90FC7" w:rsidP="00C90FC7">
      <w:pPr>
        <w:spacing w:after="120"/>
      </w:pPr>
      <w:r>
        <w:t xml:space="preserve">The goal of this measure is to assess and improve the safety and </w:t>
      </w:r>
      <w:r w:rsidR="004A1FA2">
        <w:t xml:space="preserve">quality </w:t>
      </w:r>
      <w:r>
        <w:t>of care for the 140 million ED visits that patients experience each year.</w:t>
      </w:r>
      <w:bookmarkStart w:id="14" w:name="_Ref164693972"/>
      <w:r w:rsidR="00A35272">
        <w:rPr>
          <w:rStyle w:val="EndnoteReference"/>
        </w:rPr>
        <w:endnoteReference w:id="40"/>
      </w:r>
      <w:bookmarkEnd w:id="14"/>
      <w:r>
        <w:t xml:space="preserve"> Limitations in capacity and quality of emergency care have been shown to be associated with harm, such as increases in mortality, delays in care, preventable errors, poor patient experience and staff burnout. These capacity and quality limitations are also associated with increased costs of care.</w:t>
      </w:r>
    </w:p>
    <w:p w14:paraId="1268EC9F" w14:textId="455D5B5D" w:rsidR="00A620CE" w:rsidRDefault="00C90FC7" w:rsidP="00C90FC7">
      <w:r>
        <w:t>Challenges related to emergency care access and capacity have been increasing and have prompted public calls for action. Prior efforts to measure components of this proposed measure (for example, ED boarding, through use of the ED-2 measure)</w:t>
      </w:r>
      <w:r w:rsidR="00A35272">
        <w:rPr>
          <w:rStyle w:val="EndnoteReference"/>
        </w:rPr>
        <w:endnoteReference w:id="41"/>
      </w:r>
      <w:r>
        <w:t xml:space="preserve"> were unsuccessful </w:t>
      </w:r>
      <w:bookmarkStart w:id="15" w:name="_Int_UzypTMGM"/>
      <w:r>
        <w:t>likely in</w:t>
      </w:r>
      <w:bookmarkEnd w:id="15"/>
      <w:r>
        <w:t xml:space="preserve"> part due to the construction of the measure score, which was based on median performance that obscured </w:t>
      </w:r>
      <w:bookmarkStart w:id="16" w:name="_Int_xUXRM6gj"/>
      <w:r>
        <w:t>poor performance</w:t>
      </w:r>
      <w:bookmarkEnd w:id="16"/>
      <w:r>
        <w:t xml:space="preserve">. Implementation of this proposed measure, which captures multiple components of quality and capacity, will minimize gaming, and help identify facilities where patients do not receive </w:t>
      </w:r>
      <w:r w:rsidR="00D95B04">
        <w:t>timely</w:t>
      </w:r>
      <w:r>
        <w:t xml:space="preserve"> access to emergency care. This measure, therefore, could positively impact millions of patients who seek treatment in the ED and help address long-standing disparities in emergency care, including for patients with behavioral health </w:t>
      </w:r>
      <w:r w:rsidR="00BB3C4E">
        <w:t>diagnoses</w:t>
      </w:r>
      <w:r>
        <w:t>.</w:t>
      </w:r>
    </w:p>
    <w:p w14:paraId="40494C7F" w14:textId="6808DCE6" w:rsidR="00A620CE" w:rsidRDefault="00A620CE" w:rsidP="00D273FE">
      <w:pPr>
        <w:pStyle w:val="Heading5"/>
      </w:pPr>
      <w:r>
        <w:t>3.2.2</w:t>
      </w:r>
      <w:r>
        <w:tab/>
        <w:t xml:space="preserve">Performance Scores </w:t>
      </w:r>
    </w:p>
    <w:p w14:paraId="1F3F8207" w14:textId="3A9F4475" w:rsidR="4BBDBE69" w:rsidRPr="00A31654" w:rsidRDefault="1C17EA54" w:rsidP="4BBDBE69">
      <w:pPr>
        <w:pStyle w:val="BlueprintText"/>
      </w:pPr>
      <w:r w:rsidRPr="00A31654">
        <w:t xml:space="preserve">This measure is not yet implemented; 4.8.2 below includes the performance scores calculated with test data; this may be updated after data is collected when the measure is </w:t>
      </w:r>
      <w:r w:rsidR="5E708E42" w:rsidRPr="00A31654">
        <w:t>implemented and</w:t>
      </w:r>
      <w:r w:rsidRPr="00A31654">
        <w:t xml:space="preserve"> can be used to inform usability including improvement</w:t>
      </w:r>
      <w:r w:rsidR="7504CD62" w:rsidRPr="00A31654">
        <w:t>, unexpected findings and/or benefits.</w:t>
      </w:r>
    </w:p>
    <w:p w14:paraId="7CC166E2" w14:textId="3A3B0337" w:rsidR="00A620CE" w:rsidRDefault="00A620CE" w:rsidP="00D273FE">
      <w:pPr>
        <w:pStyle w:val="Heading5"/>
      </w:pPr>
      <w:r>
        <w:t>3.2.3</w:t>
      </w:r>
      <w:r>
        <w:tab/>
        <w:t xml:space="preserve">Summary of Data Indicating Opportunity </w:t>
      </w:r>
    </w:p>
    <w:p w14:paraId="75ABD7C0" w14:textId="52056226" w:rsidR="003B2848" w:rsidRPr="00163ADF" w:rsidRDefault="003B2848" w:rsidP="003B2848">
      <w:r w:rsidRPr="00163ADF">
        <w:t xml:space="preserve">Below we summarize current performance </w:t>
      </w:r>
      <w:r>
        <w:t xml:space="preserve">of metrics in the proposed numerator, </w:t>
      </w:r>
      <w:r w:rsidRPr="00163ADF">
        <w:t>as well as harms associated with those metrics, based on CORE’s prior literature search related to ED boarding/crowding</w:t>
      </w:r>
      <w:r w:rsidR="00A35272">
        <w:rPr>
          <w:rStyle w:val="EndnoteReference"/>
        </w:rPr>
        <w:endnoteReference w:id="42"/>
      </w:r>
      <w:r w:rsidRPr="00163ADF">
        <w:t xml:space="preserve"> and additional empiric results for these metrics from other sources </w:t>
      </w:r>
      <w:r>
        <w:t xml:space="preserve">including the </w:t>
      </w:r>
      <w:hyperlink r:id="rId15" w:history="1">
        <w:r w:rsidRPr="001422A2">
          <w:rPr>
            <w:rStyle w:val="Hyperlink"/>
          </w:rPr>
          <w:t>Emergency Department Benchmarking Alliance (EDBA)</w:t>
        </w:r>
      </w:hyperlink>
      <w:r>
        <w:t>.</w:t>
      </w:r>
    </w:p>
    <w:p w14:paraId="5C80E79F" w14:textId="77777777" w:rsidR="003B2848" w:rsidRPr="003B2848" w:rsidRDefault="003B2848" w:rsidP="003B2848">
      <w:pPr>
        <w:rPr>
          <w:b/>
          <w:bCs/>
          <w:u w:val="single"/>
        </w:rPr>
      </w:pPr>
      <w:r w:rsidRPr="003B2848">
        <w:rPr>
          <w:b/>
          <w:bCs/>
          <w:u w:val="single"/>
        </w:rPr>
        <w:t>Component 1: The patient waited for longer than 1 hour to be placed in a treatment space.</w:t>
      </w:r>
    </w:p>
    <w:p w14:paraId="584296CD" w14:textId="77777777" w:rsidR="003B2848" w:rsidRPr="003B2848" w:rsidRDefault="003B2848" w:rsidP="003B2848">
      <w:pPr>
        <w:rPr>
          <w:i/>
          <w:iCs/>
        </w:rPr>
      </w:pPr>
      <w:r w:rsidRPr="003B2848">
        <w:rPr>
          <w:i/>
          <w:iCs/>
        </w:rPr>
        <w:lastRenderedPageBreak/>
        <w:t>Current Performance</w:t>
      </w:r>
    </w:p>
    <w:p w14:paraId="53142269" w14:textId="4E2F6909" w:rsidR="003B2848" w:rsidRPr="00AD7E6F" w:rsidRDefault="003B2848" w:rsidP="003B2848">
      <w:pPr>
        <w:rPr>
          <w:b/>
          <w:bCs/>
          <w:i/>
        </w:rPr>
      </w:pPr>
      <w:r w:rsidRPr="004F23B8">
        <w:t>Wait time metrics have been trending upward. For example, according to 2022 EDBA data</w:t>
      </w:r>
      <w:r w:rsidR="00A35272" w:rsidRPr="00A35272">
        <w:rPr>
          <w:vertAlign w:val="superscript"/>
        </w:rPr>
        <w:fldChar w:fldCharType="begin"/>
      </w:r>
      <w:r w:rsidR="00A35272" w:rsidRPr="00A35272">
        <w:rPr>
          <w:vertAlign w:val="superscript"/>
        </w:rPr>
        <w:instrText xml:space="preserve"> NOTEREF _Ref164693972 \h  \* MERGEFORMAT </w:instrText>
      </w:r>
      <w:r w:rsidR="00A35272" w:rsidRPr="00A35272">
        <w:rPr>
          <w:vertAlign w:val="superscript"/>
        </w:rPr>
      </w:r>
      <w:r w:rsidR="00A35272" w:rsidRPr="00A35272">
        <w:rPr>
          <w:vertAlign w:val="superscript"/>
        </w:rPr>
        <w:fldChar w:fldCharType="separate"/>
      </w:r>
      <w:r w:rsidR="00A35272" w:rsidRPr="00A35272">
        <w:rPr>
          <w:vertAlign w:val="superscript"/>
        </w:rPr>
        <w:t>48</w:t>
      </w:r>
      <w:r w:rsidR="00A35272" w:rsidRPr="00A35272">
        <w:rPr>
          <w:vertAlign w:val="superscript"/>
        </w:rPr>
        <w:fldChar w:fldCharType="end"/>
      </w:r>
      <w:r w:rsidRPr="004F23B8">
        <w:t>, the median “door to bed” (akin to door to ED treatment space) time increased by 6 minutes (from 8 minutes to 14 minutes) between 2021 and 2022, respectively. Likewise, median “door to doctor” times increased from 17 minutes in 2021 to 20 minutes in 2022.</w:t>
      </w:r>
    </w:p>
    <w:p w14:paraId="2B44A992" w14:textId="77777777" w:rsidR="003B2848" w:rsidRPr="003B2848" w:rsidRDefault="003B2848" w:rsidP="003B2848">
      <w:pPr>
        <w:rPr>
          <w:rStyle w:val="Heading4Char"/>
          <w:bCs/>
          <w:i/>
          <w:iCs/>
        </w:rPr>
      </w:pPr>
      <w:r w:rsidRPr="003B2848">
        <w:rPr>
          <w:rStyle w:val="Heading4Char"/>
          <w:bCs/>
          <w:i/>
          <w:iCs/>
        </w:rPr>
        <w:t>Association with Harms</w:t>
      </w:r>
    </w:p>
    <w:p w14:paraId="042A0DD3" w14:textId="25FEEB69" w:rsidR="003B2848" w:rsidRPr="00D47F04" w:rsidRDefault="003B2848" w:rsidP="003B2848">
      <w:pPr>
        <w:rPr>
          <w:rStyle w:val="BodyTextChar"/>
        </w:rPr>
      </w:pPr>
      <w:r w:rsidRPr="00D47F04">
        <w:t xml:space="preserve">Studies have shown that </w:t>
      </w:r>
      <w:r w:rsidRPr="00D47F04">
        <w:rPr>
          <w:rStyle w:val="BodyTextChar"/>
        </w:rPr>
        <w:t>wait times (which represent delays in timely care) are associated with patient harm. One retrospective study across multiple urban EDs in Canada examined the association between wait times and harm (72-hour ED re-visits) and found that, among other input metrics, mean ED waiting time (defined as ED arrival to physician assessment) had the strongest association with harm.</w:t>
      </w:r>
      <w:r w:rsidR="000868B2" w:rsidRPr="000868B2">
        <w:rPr>
          <w:rStyle w:val="BodyTextChar"/>
          <w:vertAlign w:val="superscript"/>
        </w:rPr>
        <w:fldChar w:fldCharType="begin"/>
      </w:r>
      <w:r w:rsidR="000868B2" w:rsidRPr="000868B2">
        <w:rPr>
          <w:rStyle w:val="BodyTextChar"/>
          <w:vertAlign w:val="superscript"/>
        </w:rPr>
        <w:instrText xml:space="preserve"> NOTEREF _Ref164694392 \h </w:instrText>
      </w:r>
      <w:r w:rsidR="000868B2">
        <w:rPr>
          <w:rStyle w:val="BodyTextChar"/>
          <w:vertAlign w:val="superscript"/>
        </w:rPr>
        <w:instrText xml:space="preserve"> \* MERGEFORMAT </w:instrText>
      </w:r>
      <w:r w:rsidR="000868B2" w:rsidRPr="000868B2">
        <w:rPr>
          <w:rStyle w:val="BodyTextChar"/>
          <w:vertAlign w:val="superscript"/>
        </w:rPr>
      </w:r>
      <w:r w:rsidR="000868B2" w:rsidRPr="000868B2">
        <w:rPr>
          <w:rStyle w:val="BodyTextChar"/>
          <w:vertAlign w:val="superscript"/>
        </w:rPr>
        <w:fldChar w:fldCharType="separate"/>
      </w:r>
      <w:r w:rsidR="000868B2" w:rsidRPr="000868B2">
        <w:rPr>
          <w:rStyle w:val="BodyTextChar"/>
          <w:vertAlign w:val="superscript"/>
        </w:rPr>
        <w:t>33</w:t>
      </w:r>
      <w:r w:rsidR="000868B2" w:rsidRPr="000868B2">
        <w:rPr>
          <w:rStyle w:val="BodyTextChar"/>
          <w:vertAlign w:val="superscript"/>
        </w:rPr>
        <w:fldChar w:fldCharType="end"/>
      </w:r>
      <w:r w:rsidRPr="00D47F04">
        <w:rPr>
          <w:rStyle w:val="BodyTextChar"/>
        </w:rPr>
        <w:t xml:space="preserve"> In addition, a single-site study using data gathered prior to the pandemic showed that the odds of a patient safety event (adverse event, preventable adverse event, and near miss) increased with each additional increase in ED waiting time (time from arrival to being seen by a triage nurse).</w:t>
      </w:r>
    </w:p>
    <w:p w14:paraId="5C610B94" w14:textId="77777777" w:rsidR="003B2848" w:rsidRPr="003B2848" w:rsidRDefault="003B2848" w:rsidP="003B2848">
      <w:pPr>
        <w:rPr>
          <w:b/>
          <w:bCs/>
        </w:rPr>
      </w:pPr>
      <w:r w:rsidRPr="003B2848">
        <w:rPr>
          <w:b/>
          <w:bCs/>
        </w:rPr>
        <w:t>Component 2: The patient left the ED without being evaluated.</w:t>
      </w:r>
    </w:p>
    <w:p w14:paraId="120601E3" w14:textId="77777777" w:rsidR="003B2848" w:rsidRPr="003B2848" w:rsidRDefault="003B2848" w:rsidP="003B2848">
      <w:pPr>
        <w:rPr>
          <w:bCs/>
          <w:i/>
          <w:iCs/>
        </w:rPr>
      </w:pPr>
      <w:r w:rsidRPr="003B2848">
        <w:rPr>
          <w:bCs/>
          <w:i/>
          <w:iCs/>
        </w:rPr>
        <w:t>Current Performance</w:t>
      </w:r>
    </w:p>
    <w:p w14:paraId="0B832222" w14:textId="7B44A0A1" w:rsidR="003B2848" w:rsidRPr="007D1EC1" w:rsidRDefault="003B2848" w:rsidP="003B2848">
      <w:r>
        <w:t>The proportion of patients who leave the ED before they are seen or before their treatment was complete has been trending upward. According to EDBA data, in 2018, 2.2 percent of patients left the ED before completing treatment; but that proportion increased to 4.0 percent in 2021 and to almost 5 percent in 2022.</w:t>
      </w:r>
    </w:p>
    <w:p w14:paraId="4B6DB7DA" w14:textId="12D34C75" w:rsidR="003B2848" w:rsidRPr="003B2848" w:rsidRDefault="003B2848" w:rsidP="003B2848">
      <w:pPr>
        <w:rPr>
          <w:bCs/>
          <w:i/>
          <w:iCs/>
        </w:rPr>
      </w:pPr>
      <w:r w:rsidRPr="003B2848">
        <w:rPr>
          <w:bCs/>
          <w:i/>
          <w:iCs/>
        </w:rPr>
        <w:t>Association with Harms</w:t>
      </w:r>
    </w:p>
    <w:p w14:paraId="4B330FFE" w14:textId="5F5598BF" w:rsidR="003B2848" w:rsidRPr="002D46BA" w:rsidRDefault="003B2848" w:rsidP="003B2848">
      <w:r w:rsidRPr="002D46BA">
        <w:t xml:space="preserve">Based on 2022 EDBA data, if 4.9 percent of patients left the ED before their treatment was complete, that means that about </w:t>
      </w:r>
      <w:bookmarkStart w:id="17" w:name="_Int_xr2KAvLP"/>
      <w:r w:rsidRPr="002D46BA">
        <w:t>7.6 million patients</w:t>
      </w:r>
      <w:bookmarkEnd w:id="17"/>
      <w:r w:rsidRPr="002D46BA">
        <w:t xml:space="preserve"> did not receive the care they needed in the ED. Single ED studies have shown that about half of patients who leave the ED without being seen have a subsequent encounter with the healthcare system; and, of those, more than half (about 68 percent) return to an ED or are admitted to the hospital</w:t>
      </w:r>
      <w:r>
        <w:t>.</w:t>
      </w:r>
      <w:r w:rsidR="000868B2">
        <w:rPr>
          <w:rStyle w:val="EndnoteReference"/>
        </w:rPr>
        <w:endnoteReference w:id="43"/>
      </w:r>
      <w:r>
        <w:t xml:space="preserve"> In addition, one study found that across all patients, 12.6 percent left the ED without being seen; the rate was 30 percent for higher-acuity patients.</w:t>
      </w:r>
      <w:r w:rsidR="000868B2">
        <w:rPr>
          <w:rStyle w:val="EndnoteReference"/>
        </w:rPr>
        <w:endnoteReference w:id="44"/>
      </w:r>
      <w:r w:rsidR="000868B2" w:rsidRPr="002D46BA">
        <w:t xml:space="preserve"> </w:t>
      </w:r>
    </w:p>
    <w:p w14:paraId="00F96F66" w14:textId="77777777" w:rsidR="003B2848" w:rsidRPr="003B2848" w:rsidRDefault="003B2848" w:rsidP="003B2848">
      <w:pPr>
        <w:rPr>
          <w:b/>
          <w:bCs/>
        </w:rPr>
      </w:pPr>
      <w:r w:rsidRPr="003B2848">
        <w:rPr>
          <w:b/>
          <w:bCs/>
        </w:rPr>
        <w:t>Component 3: The patient boarded (time from decision to admit order to patient departure from the ED for admitted patients) in the ED for longer than 4 hours.</w:t>
      </w:r>
    </w:p>
    <w:p w14:paraId="7C3353A6" w14:textId="77777777" w:rsidR="003B2848" w:rsidRPr="003B2848" w:rsidRDefault="003B2848" w:rsidP="003B2848">
      <w:pPr>
        <w:rPr>
          <w:bCs/>
          <w:i/>
          <w:iCs/>
        </w:rPr>
      </w:pPr>
      <w:r w:rsidRPr="003B2848">
        <w:rPr>
          <w:bCs/>
          <w:i/>
          <w:iCs/>
        </w:rPr>
        <w:t>Current Performance</w:t>
      </w:r>
    </w:p>
    <w:p w14:paraId="581CFEF7" w14:textId="4F28E3AB" w:rsidR="003B2848" w:rsidRPr="005D55B4" w:rsidRDefault="003B2848" w:rsidP="003B2848">
      <w:r w:rsidRPr="00D919ED">
        <w:t xml:space="preserve">There are </w:t>
      </w:r>
      <w:r>
        <w:t xml:space="preserve">currently </w:t>
      </w:r>
      <w:r w:rsidRPr="00D919ED">
        <w:t xml:space="preserve">no national </w:t>
      </w:r>
      <w:r>
        <w:t xml:space="preserve">publicly reported </w:t>
      </w:r>
      <w:r w:rsidRPr="00D919ED">
        <w:t xml:space="preserve">measures that provide current performance </w:t>
      </w:r>
      <w:r>
        <w:t>of ED boarding-related metrics; ED-2, a publicly reported measure of boarding (median time from admission decision to ED departure) was retired from use in IQR 2021.</w:t>
      </w:r>
      <w:r w:rsidR="000868B2" w:rsidRPr="000868B2">
        <w:rPr>
          <w:vertAlign w:val="superscript"/>
        </w:rPr>
        <w:fldChar w:fldCharType="begin"/>
      </w:r>
      <w:r w:rsidR="000868B2" w:rsidRPr="000868B2">
        <w:rPr>
          <w:vertAlign w:val="superscript"/>
        </w:rPr>
        <w:instrText xml:space="preserve"> NOTEREF _Ref164693972 \h </w:instrText>
      </w:r>
      <w:r w:rsidR="000868B2">
        <w:rPr>
          <w:vertAlign w:val="superscript"/>
        </w:rPr>
        <w:instrText xml:space="preserve"> \* MERGEFORMAT </w:instrText>
      </w:r>
      <w:r w:rsidR="000868B2" w:rsidRPr="000868B2">
        <w:rPr>
          <w:vertAlign w:val="superscript"/>
        </w:rPr>
      </w:r>
      <w:r w:rsidR="000868B2" w:rsidRPr="000868B2">
        <w:rPr>
          <w:vertAlign w:val="superscript"/>
        </w:rPr>
        <w:fldChar w:fldCharType="separate"/>
      </w:r>
      <w:r w:rsidR="000868B2" w:rsidRPr="000868B2">
        <w:rPr>
          <w:vertAlign w:val="superscript"/>
        </w:rPr>
        <w:t>48</w:t>
      </w:r>
      <w:r w:rsidR="000868B2" w:rsidRPr="000868B2">
        <w:rPr>
          <w:vertAlign w:val="superscript"/>
        </w:rPr>
        <w:fldChar w:fldCharType="end"/>
      </w:r>
      <w:r>
        <w:t xml:space="preserve"> </w:t>
      </w:r>
      <w:r w:rsidRPr="0090094D">
        <w:t xml:space="preserve">Data from the </w:t>
      </w:r>
      <w:r>
        <w:t>EDBA</w:t>
      </w:r>
      <w:r w:rsidRPr="0090094D">
        <w:t xml:space="preserve"> shows that median boarding times between 2012 and 2017 did not change, despite the implementation of ED-2</w:t>
      </w:r>
      <w:r>
        <w:t xml:space="preserve">. Lack of improvement could be because ED-2 is </w:t>
      </w:r>
      <w:r w:rsidRPr="0090094D">
        <w:t>specified</w:t>
      </w:r>
      <w:r>
        <w:t xml:space="preserve"> based on median times, which can obscure </w:t>
      </w:r>
      <w:bookmarkStart w:id="18" w:name="_Int_9J10AAkD"/>
      <w:r>
        <w:t>poor performance</w:t>
      </w:r>
      <w:bookmarkEnd w:id="18"/>
      <w:r>
        <w:t>.</w:t>
      </w:r>
    </w:p>
    <w:p w14:paraId="6B6E3241" w14:textId="38F96BAC" w:rsidR="003B2848" w:rsidRDefault="003B2848" w:rsidP="003B2848">
      <w:r>
        <w:lastRenderedPageBreak/>
        <w:t>More recent data from the EDBA shows a steep increase in median boarding times, from 119 minutes (about 2 hours) in 2020 to 190 minutes (about 3 hours) in 2022. One larger study that examined data (January 2020 through December 2021) from 1,769 hospitals using the EPIC EHR system found that, when hospitals were above 85% occupancy, patients remained boarded for more than 4 hours across most months (about 89% of hospital-months); median boarding times were about 6.6 hours during those hospital months.</w:t>
      </w:r>
      <w:r w:rsidR="000868B2">
        <w:rPr>
          <w:rStyle w:val="EndnoteReference"/>
        </w:rPr>
        <w:endnoteReference w:id="45"/>
      </w:r>
      <w:r w:rsidR="000868B2">
        <w:t xml:space="preserve"> </w:t>
      </w:r>
    </w:p>
    <w:p w14:paraId="2AE72503" w14:textId="194E6FDF" w:rsidR="003B2848" w:rsidRDefault="003B2848" w:rsidP="003B2848">
      <w:r>
        <w:t>Boarding times vary with hospital volume, with larger hospitals having longer median boarding times. For example, in 2017, hospitals with annual ED volumes between 100,000 and 120,000 had boarding times of almost 450 minutes (about 7 and a half hours), compared with less than 250 minutes (about 4 hours) for hospitals with annual ED volume of under 20,000.</w:t>
      </w:r>
    </w:p>
    <w:p w14:paraId="0083AEDF" w14:textId="75275AA5" w:rsidR="003B2848" w:rsidRDefault="003B2848" w:rsidP="003B2848">
      <w:r>
        <w:t>Studies have examined a range of ED boarding times; the four-hour threshold is by far the most commonly studied in the literature; it was chosen in part based on prior recommendations from The Joint Commission</w:t>
      </w:r>
      <w:r w:rsidR="0032122C">
        <w:rPr>
          <w:rStyle w:val="EndnoteReference"/>
        </w:rPr>
        <w:endnoteReference w:id="46"/>
      </w:r>
      <w:r>
        <w:t xml:space="preserve"> and expert input.</w:t>
      </w:r>
    </w:p>
    <w:p w14:paraId="56D85F20" w14:textId="77777777" w:rsidR="003B2848" w:rsidRPr="003B2848" w:rsidRDefault="003B2848" w:rsidP="003B2848">
      <w:pPr>
        <w:rPr>
          <w:bCs/>
          <w:i/>
          <w:iCs/>
        </w:rPr>
      </w:pPr>
      <w:r w:rsidRPr="003B2848">
        <w:rPr>
          <w:bCs/>
          <w:i/>
          <w:iCs/>
        </w:rPr>
        <w:t>Association with Harms</w:t>
      </w:r>
    </w:p>
    <w:p w14:paraId="45C63EB8" w14:textId="7AD03926" w:rsidR="003B2848" w:rsidRDefault="003B2848" w:rsidP="003B2848">
      <w:r w:rsidRPr="00F73086">
        <w:t xml:space="preserve">ED boarding has been shown to be associated with a wide range of harm, from delays in </w:t>
      </w:r>
      <w:r w:rsidRPr="00175512">
        <w:t>treatment</w:t>
      </w:r>
      <w:r w:rsidRPr="00F73086">
        <w:t xml:space="preserve"> to increases in mortality</w:t>
      </w:r>
      <w:r>
        <w:t>, including patients already admitted to the hospital</w:t>
      </w:r>
      <w:r w:rsidRPr="00F73086">
        <w:t>.</w:t>
      </w:r>
      <w:r w:rsidR="0049518B" w:rsidRPr="0049518B">
        <w:rPr>
          <w:vertAlign w:val="superscript"/>
        </w:rPr>
        <w:fldChar w:fldCharType="begin"/>
      </w:r>
      <w:r w:rsidR="0049518B" w:rsidRPr="0049518B">
        <w:rPr>
          <w:vertAlign w:val="superscript"/>
        </w:rPr>
        <w:instrText xml:space="preserve"> NOTEREF _Ref164710958 \h </w:instrText>
      </w:r>
      <w:r w:rsidR="0049518B">
        <w:rPr>
          <w:vertAlign w:val="superscript"/>
        </w:rPr>
        <w:instrText xml:space="preserve"> \* MERGEFORMAT </w:instrText>
      </w:r>
      <w:r w:rsidR="0049518B" w:rsidRPr="0049518B">
        <w:rPr>
          <w:vertAlign w:val="superscript"/>
        </w:rPr>
      </w:r>
      <w:r w:rsidR="0049518B" w:rsidRPr="0049518B">
        <w:rPr>
          <w:vertAlign w:val="superscript"/>
        </w:rPr>
        <w:fldChar w:fldCharType="separate"/>
      </w:r>
      <w:r w:rsidR="0049518B" w:rsidRPr="0049518B">
        <w:rPr>
          <w:vertAlign w:val="superscript"/>
        </w:rPr>
        <w:t>6</w:t>
      </w:r>
      <w:r w:rsidR="0049518B" w:rsidRPr="0049518B">
        <w:rPr>
          <w:vertAlign w:val="superscript"/>
        </w:rPr>
        <w:fldChar w:fldCharType="end"/>
      </w:r>
      <w:r w:rsidRPr="00F73086">
        <w:t xml:space="preserve"> ED boarding also negatively impacts patient experience, as patients are often boarded by being held in hallway</w:t>
      </w:r>
      <w:r>
        <w:t>s</w:t>
      </w:r>
      <w:r w:rsidRPr="00F73086">
        <w:t xml:space="preserve"> in a bed which </w:t>
      </w:r>
      <w:r>
        <w:t>lacks</w:t>
      </w:r>
      <w:r w:rsidRPr="00F73086">
        <w:t xml:space="preserve"> privacy and can contribute to staff burnout.</w:t>
      </w:r>
    </w:p>
    <w:p w14:paraId="5F7BD30C" w14:textId="28732836" w:rsidR="003B2848" w:rsidRDefault="003B2848" w:rsidP="003B2848">
      <w:r>
        <w:t>The evidence suggests there is an impact of boarding on outcomes in critically ill patients.</w:t>
      </w:r>
      <w:r w:rsidRPr="6BC20F17">
        <w:rPr>
          <w:i/>
        </w:rPr>
        <w:t xml:space="preserve"> </w:t>
      </w:r>
      <w:r>
        <w:t>For example, a 2020 review article summarized studies related to ED boarding and critically ill patients</w:t>
      </w:r>
      <w:r w:rsidR="0032122C">
        <w:rPr>
          <w:rStyle w:val="EndnoteReference"/>
        </w:rPr>
        <w:endnoteReference w:id="47"/>
      </w:r>
      <w:r>
        <w:t xml:space="preserve"> and identified more than ten studies showing worse outcomes for boarded patients, including increased duration of mechanical ventilation, worsening organ dysfunction, and lower probability of neurologic recovery in stroke patients.</w:t>
      </w:r>
    </w:p>
    <w:p w14:paraId="2C5C536B" w14:textId="77777777" w:rsidR="003B2848" w:rsidRPr="003B2848" w:rsidRDefault="003B2848" w:rsidP="003B2848">
      <w:pPr>
        <w:rPr>
          <w:b/>
          <w:bCs/>
        </w:rPr>
      </w:pPr>
      <w:r w:rsidRPr="003B2848">
        <w:rPr>
          <w:b/>
          <w:bCs/>
        </w:rPr>
        <w:t>Component 4: The patient had an ED length of stay (LOS) (time from ED arrival to ED departure) of longer than 8 hours.</w:t>
      </w:r>
    </w:p>
    <w:p w14:paraId="6CF90476" w14:textId="77777777" w:rsidR="003B2848" w:rsidRPr="003B2848" w:rsidRDefault="003B2848" w:rsidP="003B2848">
      <w:pPr>
        <w:rPr>
          <w:bCs/>
          <w:i/>
          <w:iCs/>
        </w:rPr>
      </w:pPr>
      <w:r w:rsidRPr="003B2848">
        <w:rPr>
          <w:bCs/>
          <w:i/>
          <w:iCs/>
        </w:rPr>
        <w:t>Current Performance</w:t>
      </w:r>
    </w:p>
    <w:p w14:paraId="6711966C" w14:textId="48D16EEB" w:rsidR="003B2848" w:rsidRPr="003B2848" w:rsidRDefault="003B2848" w:rsidP="003B2848">
      <w:pPr>
        <w:rPr>
          <w:b/>
          <w:bCs/>
          <w:noProof/>
        </w:rPr>
      </w:pPr>
      <w:r>
        <w:t>ED length of stay is defined as arrival time to departure time from the ED. ED length of stay varies across EDs and is positively associated with ED volume, with larger hospitals having longer lengths of stay.</w:t>
      </w:r>
      <w:r w:rsidR="0032122C" w:rsidRPr="00845220">
        <w:rPr>
          <w:vertAlign w:val="superscript"/>
        </w:rPr>
        <w:fldChar w:fldCharType="begin"/>
      </w:r>
      <w:r w:rsidR="0032122C" w:rsidRPr="00845220">
        <w:rPr>
          <w:vertAlign w:val="superscript"/>
        </w:rPr>
        <w:instrText xml:space="preserve"> NOTEREF _Ref164694392 \h </w:instrText>
      </w:r>
      <w:r w:rsidR="00845220">
        <w:rPr>
          <w:vertAlign w:val="superscript"/>
        </w:rPr>
        <w:instrText xml:space="preserve"> \* MERGEFORMAT </w:instrText>
      </w:r>
      <w:r w:rsidR="0032122C" w:rsidRPr="00845220">
        <w:rPr>
          <w:vertAlign w:val="superscript"/>
        </w:rPr>
      </w:r>
      <w:r w:rsidR="0032122C" w:rsidRPr="00845220">
        <w:rPr>
          <w:vertAlign w:val="superscript"/>
        </w:rPr>
        <w:fldChar w:fldCharType="separate"/>
      </w:r>
      <w:r w:rsidR="0032122C" w:rsidRPr="00845220">
        <w:rPr>
          <w:vertAlign w:val="superscript"/>
        </w:rPr>
        <w:t>33</w:t>
      </w:r>
      <w:r w:rsidR="0032122C" w:rsidRPr="00845220">
        <w:rPr>
          <w:vertAlign w:val="superscript"/>
        </w:rPr>
        <w:fldChar w:fldCharType="end"/>
      </w:r>
      <w:r>
        <w:t xml:space="preserve"> According to 2022 data </w:t>
      </w:r>
      <w:r w:rsidRPr="008127CF">
        <w:t>from the EDBA, between 2009 and 2022, median ED length of stay steadily increas</w:t>
      </w:r>
      <w:r>
        <w:t>ed</w:t>
      </w:r>
      <w:r w:rsidRPr="008127CF">
        <w:t xml:space="preserve"> from 167 minutes (about 3 hours) in 2009 to 211 minutes (about 3.5 hours) in 2022. </w:t>
      </w:r>
    </w:p>
    <w:p w14:paraId="28C4ADF7" w14:textId="77777777" w:rsidR="003B2848" w:rsidRPr="003B2848" w:rsidRDefault="003B2848" w:rsidP="003B2848">
      <w:pPr>
        <w:rPr>
          <w:rStyle w:val="BodyTextChar"/>
          <w:bCs/>
          <w:i/>
          <w:iCs/>
        </w:rPr>
      </w:pPr>
      <w:r w:rsidRPr="003B2848">
        <w:rPr>
          <w:rStyle w:val="BodyTextChar"/>
          <w:bCs/>
          <w:i/>
          <w:iCs/>
        </w:rPr>
        <w:t>Association with Harms</w:t>
      </w:r>
    </w:p>
    <w:p w14:paraId="26C94F0C" w14:textId="57DB3720" w:rsidR="003B2848" w:rsidRPr="00845220" w:rsidRDefault="00845220" w:rsidP="003B2848">
      <w:pPr>
        <w:rPr>
          <w:b/>
          <w:i/>
        </w:rPr>
      </w:pPr>
      <w:r>
        <w:rPr>
          <w:rStyle w:val="BodyTextChar"/>
          <w:sz w:val="22"/>
          <w:szCs w:val="22"/>
        </w:rPr>
        <w:t>A</w:t>
      </w:r>
      <w:r w:rsidR="003B2848" w:rsidRPr="00845220">
        <w:rPr>
          <w:rStyle w:val="BodyTextChar"/>
          <w:sz w:val="22"/>
          <w:szCs w:val="22"/>
        </w:rPr>
        <w:t xml:space="preserve"> 2021 systematic review</w:t>
      </w:r>
      <w:r w:rsidRPr="00845220">
        <w:rPr>
          <w:rFonts w:cs="Calibri"/>
          <w:b/>
          <w:bCs/>
          <w:i/>
          <w:vertAlign w:val="superscript"/>
        </w:rPr>
        <w:fldChar w:fldCharType="begin"/>
      </w:r>
      <w:r w:rsidRPr="00845220">
        <w:rPr>
          <w:rStyle w:val="BodyTextChar"/>
          <w:sz w:val="22"/>
          <w:szCs w:val="22"/>
          <w:vertAlign w:val="superscript"/>
        </w:rPr>
        <w:instrText xml:space="preserve"> NOTEREF _Ref164709729 \h </w:instrText>
      </w:r>
      <w:r w:rsidRPr="00845220">
        <w:rPr>
          <w:rFonts w:cs="Calibri"/>
          <w:b/>
          <w:bCs/>
          <w:i/>
          <w:vertAlign w:val="superscript"/>
        </w:rPr>
        <w:instrText xml:space="preserve"> \* MERGEFORMAT </w:instrText>
      </w:r>
      <w:r w:rsidRPr="00845220">
        <w:rPr>
          <w:rFonts w:cs="Calibri"/>
          <w:b/>
          <w:bCs/>
          <w:i/>
          <w:vertAlign w:val="superscript"/>
        </w:rPr>
      </w:r>
      <w:r w:rsidRPr="00845220">
        <w:rPr>
          <w:rFonts w:cs="Calibri"/>
          <w:b/>
          <w:bCs/>
          <w:i/>
          <w:vertAlign w:val="superscript"/>
        </w:rPr>
        <w:fldChar w:fldCharType="separate"/>
      </w:r>
      <w:r w:rsidRPr="00845220">
        <w:rPr>
          <w:rStyle w:val="BodyTextChar"/>
          <w:sz w:val="22"/>
          <w:szCs w:val="22"/>
          <w:vertAlign w:val="superscript"/>
        </w:rPr>
        <w:t>20</w:t>
      </w:r>
      <w:r w:rsidRPr="00845220">
        <w:rPr>
          <w:rFonts w:cs="Calibri"/>
          <w:b/>
          <w:bCs/>
          <w:i/>
          <w:vertAlign w:val="superscript"/>
        </w:rPr>
        <w:fldChar w:fldCharType="end"/>
      </w:r>
      <w:r w:rsidR="003B2848" w:rsidRPr="00845220">
        <w:rPr>
          <w:vertAlign w:val="superscript"/>
        </w:rPr>
        <w:t xml:space="preserve"> </w:t>
      </w:r>
      <w:r w:rsidR="003B2848" w:rsidRPr="00845220">
        <w:rPr>
          <w:rStyle w:val="BodyTextChar"/>
          <w:sz w:val="22"/>
          <w:szCs w:val="22"/>
        </w:rPr>
        <w:t>concluded that ED length of stay (and total ED occupancy) had the strongest evidence for association with worse timeliness of care (e.g., pain relief, medication administration</w:t>
      </w:r>
      <w:r w:rsidR="003B2848" w:rsidRPr="00845220">
        <w:rPr>
          <w:rStyle w:val="BodyTextChar"/>
          <w:bCs/>
          <w:sz w:val="22"/>
          <w:szCs w:val="22"/>
        </w:rPr>
        <w:t>);</w:t>
      </w:r>
      <w:r w:rsidR="003B2848" w:rsidRPr="00845220">
        <w:rPr>
          <w:rStyle w:val="BodyTextChar"/>
          <w:sz w:val="22"/>
          <w:szCs w:val="22"/>
        </w:rPr>
        <w:t xml:space="preserve"> and, likewise, a 2023 systematic review identified two studies that found that ED length of stay was the strongest predictor of delays in treatment in the ED.</w:t>
      </w:r>
      <w:r w:rsidRPr="00845220">
        <w:rPr>
          <w:rStyle w:val="EndnoteReference"/>
          <w:rFonts w:ascii="Calibri" w:eastAsia="Calibri" w:hAnsi="Calibri"/>
        </w:rPr>
        <w:endnoteReference w:id="48"/>
      </w:r>
      <w:r w:rsidR="003B2848" w:rsidRPr="00845220">
        <w:rPr>
          <w:vertAlign w:val="superscript"/>
        </w:rPr>
        <w:t xml:space="preserve"> </w:t>
      </w:r>
      <w:r w:rsidR="003B2848" w:rsidRPr="00845220">
        <w:rPr>
          <w:rStyle w:val="BodyTextChar"/>
          <w:sz w:val="22"/>
          <w:szCs w:val="22"/>
        </w:rPr>
        <w:t>A 2023 study that examined the impact of the UK 4-hour LOS standard</w:t>
      </w:r>
      <w:r w:rsidRPr="00845220">
        <w:rPr>
          <w:rStyle w:val="EndnoteReference"/>
          <w:rFonts w:ascii="Calibri" w:eastAsia="Calibri" w:hAnsi="Calibri"/>
        </w:rPr>
        <w:endnoteReference w:id="49"/>
      </w:r>
      <w:r w:rsidR="003B2848" w:rsidRPr="00845220">
        <w:rPr>
          <w:rStyle w:val="BodyTextChar"/>
          <w:sz w:val="22"/>
          <w:szCs w:val="22"/>
        </w:rPr>
        <w:t xml:space="preserve"> found that this policy resulted in a 14 percent relative decrease in 30-day all-cause mortality</w:t>
      </w:r>
      <w:r w:rsidR="003B2848" w:rsidRPr="00845220">
        <w:t>.</w:t>
      </w:r>
      <w:r w:rsidRPr="00845220">
        <w:rPr>
          <w:rStyle w:val="EndnoteReference"/>
        </w:rPr>
        <w:endnoteReference w:id="50"/>
      </w:r>
      <w:r w:rsidRPr="00845220">
        <w:rPr>
          <w:b/>
          <w:i/>
        </w:rPr>
        <w:t xml:space="preserve"> </w:t>
      </w:r>
    </w:p>
    <w:p w14:paraId="13EA5036" w14:textId="6557303B" w:rsidR="003B2848" w:rsidRPr="00845220" w:rsidRDefault="003B2848" w:rsidP="003B2848">
      <w:pPr>
        <w:rPr>
          <w:b/>
          <w:i/>
        </w:rPr>
      </w:pPr>
      <w:r w:rsidRPr="00845220">
        <w:rPr>
          <w:rStyle w:val="BodyTextChar"/>
          <w:bCs/>
          <w:sz w:val="22"/>
          <w:szCs w:val="22"/>
        </w:rPr>
        <w:lastRenderedPageBreak/>
        <w:t>A 2022 systematic review identified several studies that support an 8-hour threshold</w:t>
      </w:r>
      <w:r w:rsidR="00845220" w:rsidRPr="00845220">
        <w:rPr>
          <w:rStyle w:val="BodyTextChar"/>
          <w:sz w:val="22"/>
          <w:szCs w:val="22"/>
        </w:rPr>
        <w:t>.</w:t>
      </w:r>
      <w:r w:rsidR="00845220" w:rsidRPr="00845220">
        <w:rPr>
          <w:rStyle w:val="BodyTextChar"/>
          <w:sz w:val="22"/>
          <w:szCs w:val="22"/>
          <w:vertAlign w:val="superscript"/>
        </w:rPr>
        <w:fldChar w:fldCharType="begin"/>
      </w:r>
      <w:r w:rsidR="00845220" w:rsidRPr="00845220">
        <w:rPr>
          <w:rStyle w:val="BodyTextChar"/>
          <w:sz w:val="22"/>
          <w:szCs w:val="22"/>
          <w:vertAlign w:val="superscript"/>
        </w:rPr>
        <w:instrText xml:space="preserve"> NOTEREF _Ref164709308 \h  \* MERGEFORMAT </w:instrText>
      </w:r>
      <w:r w:rsidR="00845220" w:rsidRPr="00845220">
        <w:rPr>
          <w:rStyle w:val="BodyTextChar"/>
          <w:sz w:val="22"/>
          <w:szCs w:val="22"/>
          <w:vertAlign w:val="superscript"/>
        </w:rPr>
      </w:r>
      <w:r w:rsidR="00845220" w:rsidRPr="00845220">
        <w:rPr>
          <w:rStyle w:val="BodyTextChar"/>
          <w:sz w:val="22"/>
          <w:szCs w:val="22"/>
          <w:vertAlign w:val="superscript"/>
        </w:rPr>
        <w:fldChar w:fldCharType="separate"/>
      </w:r>
      <w:r w:rsidR="00845220" w:rsidRPr="00845220">
        <w:rPr>
          <w:rStyle w:val="BodyTextChar"/>
          <w:sz w:val="22"/>
          <w:szCs w:val="22"/>
          <w:vertAlign w:val="superscript"/>
        </w:rPr>
        <w:t>2</w:t>
      </w:r>
      <w:r w:rsidR="00845220" w:rsidRPr="00845220">
        <w:rPr>
          <w:rStyle w:val="BodyTextChar"/>
          <w:sz w:val="22"/>
          <w:szCs w:val="22"/>
          <w:vertAlign w:val="superscript"/>
        </w:rPr>
        <w:fldChar w:fldCharType="end"/>
      </w:r>
      <w:r w:rsidRPr="00845220">
        <w:rPr>
          <w:vertAlign w:val="superscript"/>
        </w:rPr>
        <w:t xml:space="preserve"> </w:t>
      </w:r>
      <w:r w:rsidRPr="00845220">
        <w:rPr>
          <w:rStyle w:val="BodyTextChar"/>
          <w:sz w:val="22"/>
          <w:szCs w:val="22"/>
        </w:rPr>
        <w:t>Akhtar et al (2015) found that patients with acute stroke were more likely to experience complications and more likely to die in the hospital if they spent more than 8 hours in the ED</w:t>
      </w:r>
      <w:r w:rsidR="00845220" w:rsidRPr="00845220">
        <w:rPr>
          <w:rStyle w:val="BodyTextChar"/>
          <w:sz w:val="22"/>
          <w:szCs w:val="22"/>
        </w:rPr>
        <w:t>.</w:t>
      </w:r>
      <w:r w:rsidR="00845220" w:rsidRPr="00845220">
        <w:rPr>
          <w:rStyle w:val="EndnoteReference"/>
          <w:rFonts w:ascii="Calibri" w:eastAsia="Calibri" w:hAnsi="Calibri"/>
        </w:rPr>
        <w:endnoteReference w:id="51"/>
      </w:r>
      <w:r w:rsidRPr="00845220">
        <w:rPr>
          <w:vertAlign w:val="superscript"/>
        </w:rPr>
        <w:t xml:space="preserve"> </w:t>
      </w:r>
      <w:r w:rsidRPr="00845220">
        <w:rPr>
          <w:rStyle w:val="BodyTextChar"/>
          <w:sz w:val="22"/>
          <w:szCs w:val="22"/>
        </w:rPr>
        <w:t>Berg et al., (2019) found that lower-acuity patients (triage acuity levels 3 to 5) with an ED length of stay of at least 8 hours who were discharged from the ED had higher odds of 10-day mortality compared with patients who had a stay of less than 2 hours</w:t>
      </w:r>
      <w:r w:rsidR="00845220" w:rsidRPr="00845220">
        <w:rPr>
          <w:rStyle w:val="BodyTextChar"/>
          <w:sz w:val="22"/>
          <w:szCs w:val="22"/>
        </w:rPr>
        <w:t>.</w:t>
      </w:r>
      <w:r w:rsidR="00845220" w:rsidRPr="00845220">
        <w:rPr>
          <w:rStyle w:val="BodyTextChar"/>
          <w:sz w:val="22"/>
          <w:szCs w:val="22"/>
          <w:vertAlign w:val="superscript"/>
        </w:rPr>
        <w:fldChar w:fldCharType="begin"/>
      </w:r>
      <w:r w:rsidR="00845220" w:rsidRPr="00845220">
        <w:rPr>
          <w:rStyle w:val="BodyTextChar"/>
          <w:sz w:val="22"/>
          <w:szCs w:val="22"/>
          <w:vertAlign w:val="superscript"/>
        </w:rPr>
        <w:instrText xml:space="preserve"> NOTEREF _Ref164709916 \h  \* MERGEFORMAT </w:instrText>
      </w:r>
      <w:r w:rsidR="00845220" w:rsidRPr="00845220">
        <w:rPr>
          <w:rStyle w:val="BodyTextChar"/>
          <w:sz w:val="22"/>
          <w:szCs w:val="22"/>
          <w:vertAlign w:val="superscript"/>
        </w:rPr>
      </w:r>
      <w:r w:rsidR="00845220" w:rsidRPr="00845220">
        <w:rPr>
          <w:rStyle w:val="BodyTextChar"/>
          <w:sz w:val="22"/>
          <w:szCs w:val="22"/>
          <w:vertAlign w:val="superscript"/>
        </w:rPr>
        <w:fldChar w:fldCharType="separate"/>
      </w:r>
      <w:r w:rsidR="00845220" w:rsidRPr="00845220">
        <w:rPr>
          <w:rStyle w:val="BodyTextChar"/>
          <w:sz w:val="22"/>
          <w:szCs w:val="22"/>
          <w:vertAlign w:val="superscript"/>
        </w:rPr>
        <w:t>30</w:t>
      </w:r>
      <w:r w:rsidR="00845220" w:rsidRPr="00845220">
        <w:rPr>
          <w:rStyle w:val="BodyTextChar"/>
          <w:sz w:val="22"/>
          <w:szCs w:val="22"/>
          <w:vertAlign w:val="superscript"/>
        </w:rPr>
        <w:fldChar w:fldCharType="end"/>
      </w:r>
      <w:r w:rsidRPr="00845220">
        <w:rPr>
          <w:vertAlign w:val="superscript"/>
        </w:rPr>
        <w:t xml:space="preserve"> </w:t>
      </w:r>
      <w:r w:rsidRPr="00845220">
        <w:rPr>
          <w:rStyle w:val="BodyTextChar"/>
          <w:sz w:val="22"/>
          <w:szCs w:val="22"/>
        </w:rPr>
        <w:t>Dinh et al., (2020) found a significantly higher risk of all-cause 30-day mortality for patients with an ED length of stay greater than 4 hours.</w:t>
      </w:r>
      <w:bookmarkStart w:id="19" w:name="_Ref164710374"/>
      <w:r w:rsidR="00845220" w:rsidRPr="00845220">
        <w:rPr>
          <w:rStyle w:val="EndnoteReference"/>
          <w:rFonts w:ascii="Calibri" w:eastAsia="Calibri" w:hAnsi="Calibri"/>
        </w:rPr>
        <w:endnoteReference w:id="52"/>
      </w:r>
      <w:bookmarkEnd w:id="19"/>
    </w:p>
    <w:p w14:paraId="4742B22F" w14:textId="3319C177" w:rsidR="00A620CE" w:rsidRPr="0067225E" w:rsidRDefault="00A620CE" w:rsidP="00D273FE">
      <w:pPr>
        <w:pStyle w:val="Heading5"/>
      </w:pPr>
      <w:r>
        <w:t>3.2.4</w:t>
      </w:r>
      <w:r>
        <w:tab/>
        <w:t xml:space="preserve">Equity/Disparities </w:t>
      </w:r>
    </w:p>
    <w:p w14:paraId="4BF968BD" w14:textId="03AC40B4" w:rsidR="00A620CE" w:rsidRDefault="007A48B5" w:rsidP="1B174BA5">
      <w:pPr>
        <w:pStyle w:val="BlueprintText"/>
      </w:pPr>
      <w:r>
        <w:t>In the future, t</w:t>
      </w:r>
      <w:r w:rsidR="17826BA1">
        <w:t>his measure can improve disparities and health equity through stratification by social risk factors.</w:t>
      </w:r>
    </w:p>
    <w:p w14:paraId="2CD65288" w14:textId="69071B26" w:rsidR="00A620CE" w:rsidRDefault="00A620CE" w:rsidP="1B174BA5">
      <w:pPr>
        <w:pStyle w:val="BlueprintText"/>
      </w:pPr>
      <w:r>
        <w:t>3.2.5</w:t>
      </w:r>
      <w:r>
        <w:tab/>
        <w:t xml:space="preserve">If no or limited equity/disparities data, provide summary of data. </w:t>
      </w:r>
    </w:p>
    <w:p w14:paraId="7014DAAF" w14:textId="2A1F2C81" w:rsidR="006075B8" w:rsidRDefault="006075B8" w:rsidP="006075B8">
      <w:r>
        <w:t xml:space="preserve">Patients seen in the emergency department </w:t>
      </w:r>
      <w:r w:rsidR="00154F9B">
        <w:t xml:space="preserve">with </w:t>
      </w:r>
      <w:r>
        <w:t xml:space="preserve">a </w:t>
      </w:r>
      <w:r w:rsidR="00CF36FE">
        <w:t>mental</w:t>
      </w:r>
      <w:r w:rsidR="4DA8E9D5">
        <w:t xml:space="preserve"> </w:t>
      </w:r>
      <w:r>
        <w:t xml:space="preserve">health </w:t>
      </w:r>
      <w:r w:rsidR="00154F9B">
        <w:t xml:space="preserve">principal diagnosis </w:t>
      </w:r>
      <w:r>
        <w:t xml:space="preserve">are more likely to experience boarding and, when boarding, to experience long boarding times. For example, one study showed that about 30 percent of psychiatric visits were associated with boarding, compared with about 7 percent of non-psychiatric visits. Pediatric psychiatric visits were </w:t>
      </w:r>
      <w:bookmarkStart w:id="20" w:name="_Int_8zMZnYcG"/>
      <w:r>
        <w:t>somewhat more</w:t>
      </w:r>
      <w:bookmarkEnd w:id="20"/>
      <w:r>
        <w:t xml:space="preserve"> likely to be associated with boarding compared with adult visits (34 percent vs. 30 percent, respectively). </w:t>
      </w:r>
    </w:p>
    <w:p w14:paraId="6B166987" w14:textId="637D4AF7" w:rsidR="006075B8" w:rsidRPr="00B37B86" w:rsidRDefault="006075B8" w:rsidP="006075B8">
      <w:pPr>
        <w:rPr>
          <w:b/>
          <w:bCs/>
          <w:i/>
        </w:rPr>
      </w:pPr>
      <w:r w:rsidRPr="25E2B605">
        <w:t xml:space="preserve">For patients </w:t>
      </w:r>
      <w:r w:rsidRPr="00B6412C">
        <w:t xml:space="preserve">seen in the emergency department for a behavioral health condition or complaint, ED length of stay has been shown to be longer compared with patients with non-behavioral health diagnoses among patients who were discharged, admitted, or externally transferred (10.7, 11.4, and </w:t>
      </w:r>
      <w:bookmarkStart w:id="21" w:name="_Int_9k5UxTGB"/>
      <w:r w:rsidRPr="00B6412C">
        <w:t>52.6 hours</w:t>
      </w:r>
      <w:bookmarkEnd w:id="21"/>
      <w:r w:rsidRPr="00B6412C">
        <w:t>; compared with 8.3, 7.3 and 29.3 hours, respectively</w:t>
      </w:r>
      <w:r w:rsidRPr="25E2B605">
        <w:t>).</w:t>
      </w:r>
      <w:r w:rsidR="00947A09">
        <w:rPr>
          <w:rStyle w:val="EndnoteReference"/>
        </w:rPr>
        <w:endnoteReference w:id="53"/>
      </w:r>
      <w:r w:rsidR="00947A09" w:rsidRPr="00B37B86">
        <w:rPr>
          <w:b/>
          <w:bCs/>
          <w:i/>
        </w:rPr>
        <w:t xml:space="preserve"> </w:t>
      </w:r>
    </w:p>
    <w:p w14:paraId="55DB46EB" w14:textId="77777777" w:rsidR="006075B8" w:rsidRPr="006075B8" w:rsidRDefault="006075B8" w:rsidP="006075B8">
      <w:pPr>
        <w:rPr>
          <w:b/>
          <w:bCs/>
        </w:rPr>
      </w:pPr>
      <w:r w:rsidRPr="006075B8">
        <w:rPr>
          <w:b/>
          <w:bCs/>
        </w:rPr>
        <w:t>Race and Ethnicity</w:t>
      </w:r>
    </w:p>
    <w:p w14:paraId="583C8E58" w14:textId="689C5FE0" w:rsidR="006075B8" w:rsidRPr="00467180" w:rsidRDefault="006075B8" w:rsidP="006075B8">
      <w:r w:rsidRPr="25E2B605">
        <w:t xml:space="preserve">There are disparities in ED throughput metrics by race. For example, in one study, Black patients waited longer (arrival time to decision-to-admit time) than </w:t>
      </w:r>
      <w:r>
        <w:t>w</w:t>
      </w:r>
      <w:r w:rsidRPr="25E2B605">
        <w:t>hite patients even after adjusting for clinical, demographic, and socioeconomic variables</w:t>
      </w:r>
      <w:r w:rsidR="00947A09">
        <w:t>.</w:t>
      </w:r>
      <w:r w:rsidR="00947A09">
        <w:rPr>
          <w:rStyle w:val="EndnoteReference"/>
        </w:rPr>
        <w:endnoteReference w:id="54"/>
      </w:r>
      <w:r w:rsidRPr="25E2B605">
        <w:t xml:space="preserve"> Another study found that, while across all patients there was no difference in mean boarding time between Black and </w:t>
      </w:r>
      <w:r>
        <w:t>w</w:t>
      </w:r>
      <w:r w:rsidRPr="25E2B605">
        <w:t xml:space="preserve">hite patients, among those with higher acuity (ESI level 1), Black patients boarded significantly longer than </w:t>
      </w:r>
      <w:r>
        <w:t>w</w:t>
      </w:r>
      <w:r w:rsidRPr="25E2B605">
        <w:t xml:space="preserve">hite patients; and, for psychiatric admissions, Black patients also boarded significantly longer than </w:t>
      </w:r>
      <w:r>
        <w:t>w</w:t>
      </w:r>
      <w:r w:rsidRPr="25E2B605">
        <w:t>hite patients.</w:t>
      </w:r>
      <w:r w:rsidR="00947A09" w:rsidRPr="00947A09">
        <w:rPr>
          <w:vertAlign w:val="superscript"/>
        </w:rPr>
        <w:fldChar w:fldCharType="begin"/>
      </w:r>
      <w:r w:rsidR="00947A09" w:rsidRPr="00947A09">
        <w:rPr>
          <w:vertAlign w:val="superscript"/>
        </w:rPr>
        <w:instrText xml:space="preserve"> NOTEREF _Ref164710355 \h </w:instrText>
      </w:r>
      <w:r w:rsidR="00947A09">
        <w:rPr>
          <w:vertAlign w:val="superscript"/>
        </w:rPr>
        <w:instrText xml:space="preserve"> \* MERGEFORMAT </w:instrText>
      </w:r>
      <w:r w:rsidR="00947A09" w:rsidRPr="00947A09">
        <w:rPr>
          <w:vertAlign w:val="superscript"/>
        </w:rPr>
      </w:r>
      <w:r w:rsidR="00947A09" w:rsidRPr="00947A09">
        <w:rPr>
          <w:vertAlign w:val="superscript"/>
        </w:rPr>
        <w:fldChar w:fldCharType="separate"/>
      </w:r>
      <w:r w:rsidR="00947A09" w:rsidRPr="00947A09">
        <w:rPr>
          <w:vertAlign w:val="superscript"/>
        </w:rPr>
        <w:t>10</w:t>
      </w:r>
      <w:r w:rsidR="00947A09" w:rsidRPr="00947A09">
        <w:rPr>
          <w:vertAlign w:val="superscript"/>
        </w:rPr>
        <w:fldChar w:fldCharType="end"/>
      </w:r>
      <w:r w:rsidRPr="00947A09">
        <w:rPr>
          <w:vertAlign w:val="superscript"/>
        </w:rPr>
        <w:t xml:space="preserve"> </w:t>
      </w:r>
      <w:r w:rsidRPr="25E2B605">
        <w:t>Among trauma patients, ED length of stay was found to be longer in Black and Hispanic patients, who remained in the ED for about 40 minutes longer compared with white patients.</w:t>
      </w:r>
      <w:r w:rsidR="00947A09" w:rsidRPr="00947A09">
        <w:rPr>
          <w:vertAlign w:val="superscript"/>
        </w:rPr>
        <w:fldChar w:fldCharType="begin"/>
      </w:r>
      <w:r w:rsidR="00947A09" w:rsidRPr="00947A09">
        <w:rPr>
          <w:vertAlign w:val="superscript"/>
        </w:rPr>
        <w:instrText xml:space="preserve"> NOTEREF _Ref164710374 \h </w:instrText>
      </w:r>
      <w:r w:rsidR="00947A09">
        <w:rPr>
          <w:vertAlign w:val="superscript"/>
        </w:rPr>
        <w:instrText xml:space="preserve"> \* MERGEFORMAT </w:instrText>
      </w:r>
      <w:r w:rsidR="00947A09" w:rsidRPr="00947A09">
        <w:rPr>
          <w:vertAlign w:val="superscript"/>
        </w:rPr>
      </w:r>
      <w:r w:rsidR="00947A09" w:rsidRPr="00947A09">
        <w:rPr>
          <w:vertAlign w:val="superscript"/>
        </w:rPr>
        <w:fldChar w:fldCharType="separate"/>
      </w:r>
      <w:r w:rsidR="00947A09" w:rsidRPr="00947A09">
        <w:rPr>
          <w:vertAlign w:val="superscript"/>
        </w:rPr>
        <w:t>63</w:t>
      </w:r>
      <w:r w:rsidR="00947A09" w:rsidRPr="00947A09">
        <w:rPr>
          <w:vertAlign w:val="superscript"/>
        </w:rPr>
        <w:fldChar w:fldCharType="end"/>
      </w:r>
      <w:r w:rsidRPr="25E2B605">
        <w:t xml:space="preserve"> Finally, a more recent 2023 study found that Black and Hispanic patients (as well as patients covered by Medicaid), were more likely to leave without being seen, or to be placed in hallway locations for treatment, even when controlling for factors such as acuity.</w:t>
      </w:r>
      <w:r w:rsidR="00947A09">
        <w:rPr>
          <w:rStyle w:val="EndnoteReference"/>
        </w:rPr>
        <w:endnoteReference w:id="55"/>
      </w:r>
      <w:r w:rsidR="00947A09" w:rsidRPr="00467180">
        <w:t xml:space="preserve"> </w:t>
      </w:r>
    </w:p>
    <w:p w14:paraId="262DB22B" w14:textId="77777777" w:rsidR="006075B8" w:rsidRPr="006075B8" w:rsidRDefault="006075B8" w:rsidP="006075B8">
      <w:pPr>
        <w:rPr>
          <w:b/>
          <w:bCs/>
        </w:rPr>
      </w:pPr>
      <w:r w:rsidRPr="006075B8">
        <w:rPr>
          <w:b/>
          <w:bCs/>
        </w:rPr>
        <w:t>Older Patients</w:t>
      </w:r>
    </w:p>
    <w:p w14:paraId="13ED33DA" w14:textId="004816A6" w:rsidR="006075B8" w:rsidRDefault="210FA897" w:rsidP="109B55FF">
      <w:pPr>
        <w:rPr>
          <w:vertAlign w:val="superscript"/>
        </w:rPr>
      </w:pPr>
      <w:r>
        <w:t>Older patients have been shown to experience longer ED input and throughput, and worse outcomes.</w:t>
      </w:r>
      <w:r w:rsidR="006075B8">
        <w:t xml:space="preserve"> For example, one study found that older patients who were eventually admitted to the medicine service had significantly longer ED wait times compared with younger patients, and another study found a strong association between patient age (65 or older) and longer ED wait times (time from ED arrival to seeing a provider)</w:t>
      </w:r>
      <w:r w:rsidR="00947A09">
        <w:t>.</w:t>
      </w:r>
      <w:r w:rsidR="00947A09" w:rsidRPr="00947A09">
        <w:rPr>
          <w:vertAlign w:val="superscript"/>
        </w:rPr>
        <w:fldChar w:fldCharType="begin"/>
      </w:r>
      <w:r w:rsidR="00947A09" w:rsidRPr="00947A09">
        <w:rPr>
          <w:vertAlign w:val="superscript"/>
        </w:rPr>
        <w:instrText xml:space="preserve"> NOTEREF _Ref164710465 \h  \* MERGEFORMAT </w:instrText>
      </w:r>
      <w:r w:rsidR="00947A09" w:rsidRPr="00947A09">
        <w:rPr>
          <w:vertAlign w:val="superscript"/>
        </w:rPr>
      </w:r>
      <w:r w:rsidR="00947A09" w:rsidRPr="00947A09">
        <w:rPr>
          <w:vertAlign w:val="superscript"/>
        </w:rPr>
        <w:fldChar w:fldCharType="separate"/>
      </w:r>
      <w:r w:rsidR="00947A09" w:rsidRPr="00947A09">
        <w:rPr>
          <w:vertAlign w:val="superscript"/>
        </w:rPr>
        <w:t>31</w:t>
      </w:r>
      <w:r w:rsidR="00947A09" w:rsidRPr="00947A09">
        <w:rPr>
          <w:vertAlign w:val="superscript"/>
        </w:rPr>
        <w:fldChar w:fldCharType="end"/>
      </w:r>
      <w:r w:rsidR="006075B8">
        <w:t xml:space="preserve"> O</w:t>
      </w:r>
      <w:r w:rsidR="006075B8" w:rsidRPr="0008797B">
        <w:t>lder patients are more likely to experience worse outcomes from the same type of adverse event (e.g., missed medications) when compared with younger patients.</w:t>
      </w:r>
      <w:r w:rsidR="006075B8">
        <w:t xml:space="preserve"> In one study, older </w:t>
      </w:r>
      <w:r w:rsidR="006075B8">
        <w:lastRenderedPageBreak/>
        <w:t>patients who stayed overnight in the ED had higher in-hospital mortality and higher odds of adverse events compared with patients admitted to an inpatient bed before midnight.</w:t>
      </w:r>
      <w:r w:rsidR="00947A09" w:rsidRPr="00947A09">
        <w:rPr>
          <w:vertAlign w:val="superscript"/>
        </w:rPr>
        <w:fldChar w:fldCharType="begin"/>
      </w:r>
      <w:r w:rsidR="00947A09" w:rsidRPr="00947A09">
        <w:rPr>
          <w:vertAlign w:val="superscript"/>
        </w:rPr>
        <w:instrText xml:space="preserve"> NOTEREF _Ref164710497 \h </w:instrText>
      </w:r>
      <w:r w:rsidR="00947A09">
        <w:rPr>
          <w:vertAlign w:val="superscript"/>
        </w:rPr>
        <w:instrText xml:space="preserve"> \* MERGEFORMAT </w:instrText>
      </w:r>
      <w:r w:rsidR="00947A09" w:rsidRPr="00947A09">
        <w:rPr>
          <w:vertAlign w:val="superscript"/>
        </w:rPr>
      </w:r>
      <w:r w:rsidR="00947A09" w:rsidRPr="00947A09">
        <w:rPr>
          <w:vertAlign w:val="superscript"/>
        </w:rPr>
        <w:fldChar w:fldCharType="separate"/>
      </w:r>
      <w:r w:rsidR="00947A09" w:rsidRPr="00947A09">
        <w:rPr>
          <w:vertAlign w:val="superscript"/>
        </w:rPr>
        <w:t>5</w:t>
      </w:r>
      <w:r w:rsidR="00947A09" w:rsidRPr="00947A09">
        <w:rPr>
          <w:vertAlign w:val="superscript"/>
        </w:rPr>
        <w:fldChar w:fldCharType="end"/>
      </w:r>
      <w:r w:rsidR="00947A09" w:rsidRPr="00947A09">
        <w:rPr>
          <w:vertAlign w:val="superscript"/>
        </w:rPr>
        <w:t xml:space="preserve"> </w:t>
      </w:r>
    </w:p>
    <w:p w14:paraId="11ABCAAF" w14:textId="208470EF" w:rsidR="00C910F6" w:rsidRDefault="00A620CE" w:rsidP="00D273FE">
      <w:pPr>
        <w:pStyle w:val="Heading4"/>
      </w:pPr>
      <w:r>
        <w:t>3</w:t>
      </w:r>
      <w:r w:rsidR="00630D96">
        <w:t>.</w:t>
      </w:r>
      <w:r w:rsidR="00897BAE">
        <w:t>3</w:t>
      </w:r>
      <w:r w:rsidR="00C910F6">
        <w:t xml:space="preserve"> </w:t>
      </w:r>
      <w:r w:rsidR="00287FA4">
        <w:tab/>
      </w:r>
      <w:r w:rsidR="00C910F6" w:rsidRPr="00D273FE">
        <w:t>Harmonization</w:t>
      </w:r>
    </w:p>
    <w:p w14:paraId="6283CC94" w14:textId="0080F737" w:rsidR="00A92DE1" w:rsidRDefault="0091736B" w:rsidP="00C90FC7">
      <w:pPr>
        <w:spacing w:after="0" w:line="240" w:lineRule="auto"/>
        <w:ind w:left="-30" w:right="-30"/>
        <w:textAlignment w:val="baseline"/>
      </w:pPr>
      <w:r w:rsidRPr="0091736B">
        <w:t xml:space="preserve">A prior measure of ED boarding, ED-2, </w:t>
      </w:r>
      <w:r w:rsidR="00A92DE1">
        <w:t xml:space="preserve">was </w:t>
      </w:r>
      <w:r w:rsidRPr="0091736B">
        <w:t>removed from the Inpatient Quality Reporting (IQR) Program in 2021</w:t>
      </w:r>
      <w:r w:rsidR="00A92DE1">
        <w:t>.</w:t>
      </w:r>
      <w:r w:rsidR="00C90FC7">
        <w:t xml:space="preserve"> There are currently two active related </w:t>
      </w:r>
      <w:proofErr w:type="gramStart"/>
      <w:r w:rsidR="00C90FC7">
        <w:t>measures;</w:t>
      </w:r>
      <w:proofErr w:type="gramEnd"/>
      <w:r w:rsidR="00C90FC7">
        <w:t xml:space="preserve"> ED Median Time from ED Arrival to ED Departure for all Adult Patients and ED Median Time from ED Arrival to ED Departure for all Pediatric Patients.</w:t>
      </w:r>
    </w:p>
    <w:p w14:paraId="712B610A" w14:textId="77777777" w:rsidR="00C90FC7" w:rsidRDefault="00C90FC7" w:rsidP="00C90FC7">
      <w:pPr>
        <w:spacing w:after="0" w:line="240" w:lineRule="auto"/>
        <w:ind w:left="-30" w:right="-30"/>
        <w:textAlignment w:val="baseline"/>
      </w:pPr>
    </w:p>
    <w:p w14:paraId="1076655F" w14:textId="15EA2FF0" w:rsidR="00C90FC7" w:rsidRDefault="00A92DE1" w:rsidP="00A92DE1">
      <w:pPr>
        <w:spacing w:line="240" w:lineRule="auto"/>
        <w:ind w:left="-30" w:right="-30"/>
        <w:textAlignment w:val="baseline"/>
      </w:pPr>
      <w:r>
        <w:t xml:space="preserve">The </w:t>
      </w:r>
      <w:r w:rsidR="00C90FC7">
        <w:t>retired</w:t>
      </w:r>
      <w:r>
        <w:t xml:space="preserve"> measure</w:t>
      </w:r>
      <w:r w:rsidR="0091736B" w:rsidRPr="0091736B">
        <w:t xml:space="preserve"> did not demonstrate a clear association with outcome</w:t>
      </w:r>
      <w:r w:rsidR="00C90FC7">
        <w:t xml:space="preserve"> and the actives measures focus on one component of boarding.</w:t>
      </w:r>
    </w:p>
    <w:p w14:paraId="5957A755" w14:textId="0D51A6BD" w:rsidR="00173785" w:rsidRPr="00173785" w:rsidRDefault="00A92DE1" w:rsidP="00A92DE1">
      <w:pPr>
        <w:spacing w:line="240" w:lineRule="auto"/>
        <w:ind w:left="-30" w:right="-30"/>
        <w:textAlignment w:val="baseline"/>
        <w:rPr>
          <w:rFonts w:ascii="Segoe UI" w:eastAsia="Times New Roman" w:hAnsi="Segoe UI" w:cs="Segoe UI"/>
          <w:sz w:val="18"/>
          <w:szCs w:val="18"/>
        </w:rPr>
      </w:pPr>
      <w:r>
        <w:t xml:space="preserve">This proposed measure </w:t>
      </w:r>
      <w:r w:rsidR="0091736B" w:rsidRPr="0091736B">
        <w:t xml:space="preserve">describes an alternative approach to quality measurement that can maximize capture of the problem, minimize gaming, and be used to address ED boarding/crowding and related disparities in </w:t>
      </w:r>
      <w:r w:rsidR="0091736B">
        <w:t>care</w:t>
      </w:r>
      <w:r>
        <w:t>. It includes multiple components of care related to boarding as opposed to one specific component.</w:t>
      </w:r>
    </w:p>
    <w:p w14:paraId="79FCEF35" w14:textId="207734C7" w:rsidR="00C910F6" w:rsidRDefault="00630D96" w:rsidP="00D273FE">
      <w:pPr>
        <w:pStyle w:val="Heading5"/>
      </w:pPr>
      <w:r>
        <w:t>3.</w:t>
      </w:r>
      <w:r w:rsidR="00897BAE">
        <w:t>3</w:t>
      </w:r>
      <w:r>
        <w:t>.1</w:t>
      </w:r>
      <w:r>
        <w:tab/>
      </w:r>
      <w:r w:rsidR="00C910F6" w:rsidRPr="004C711D">
        <w:t>Related and</w:t>
      </w:r>
      <w:r w:rsidR="00C910F6" w:rsidRPr="00630D96">
        <w:t xml:space="preserve"> </w:t>
      </w:r>
      <w:r w:rsidR="00C910F6" w:rsidRPr="004C711D">
        <w:t xml:space="preserve">Competing Measures </w:t>
      </w:r>
    </w:p>
    <w:p w14:paraId="6393025A" w14:textId="2D9527EF" w:rsidR="00C910F6" w:rsidRDefault="00C910F6" w:rsidP="00AE0733">
      <w:pPr>
        <w:pStyle w:val="Heading6"/>
        <w:spacing w:before="240"/>
      </w:pPr>
      <w:r>
        <w:t>3.</w:t>
      </w:r>
      <w:r w:rsidR="00897BAE">
        <w:t>3</w:t>
      </w:r>
      <w:r>
        <w:t>.1</w:t>
      </w:r>
      <w:r w:rsidR="00630D96">
        <w:t>.1</w:t>
      </w:r>
      <w:r>
        <w:tab/>
      </w:r>
      <w:r w:rsidRPr="003E4F33">
        <w:t>Relation</w:t>
      </w:r>
      <w:r w:rsidRPr="000D3D01">
        <w:t xml:space="preserve"> to Other Measures </w:t>
      </w:r>
    </w:p>
    <w:p w14:paraId="19CE1BA0" w14:textId="77777777" w:rsidR="00C910F6" w:rsidRPr="000D3D01" w:rsidRDefault="00C910F6" w:rsidP="00C910F6">
      <w:pPr>
        <w:pStyle w:val="BlueprintText"/>
        <w:ind w:left="720" w:hanging="720"/>
        <w:rPr>
          <w:lang w:eastAsia="ja-JP"/>
        </w:rPr>
      </w:pPr>
      <w:r>
        <w:rPr>
          <w:lang w:eastAsia="ja-JP"/>
        </w:rPr>
        <w:t>Are there related measures or competing measures?</w:t>
      </w:r>
    </w:p>
    <w:p w14:paraId="1306964E" w14:textId="27C81AE8" w:rsidR="00C910F6" w:rsidRDefault="00D95B04" w:rsidP="00C910F6">
      <w:pPr>
        <w:pStyle w:val="ListBullet"/>
        <w:numPr>
          <w:ilvl w:val="0"/>
          <w:numId w:val="0"/>
        </w:numPr>
        <w:ind w:left="360"/>
      </w:pPr>
      <w:sdt>
        <w:sdtPr>
          <w:rPr>
            <w:rFonts w:ascii="Segoe UI Symbol" w:hAnsi="Segoe UI Symbol" w:cs="Segoe UI Symbol"/>
          </w:rPr>
          <w:id w:val="1323234498"/>
          <w14:checkbox>
            <w14:checked w14:val="1"/>
            <w14:checkedState w14:val="2612" w14:font="MS Gothic"/>
            <w14:uncheckedState w14:val="2610" w14:font="MS Gothic"/>
          </w14:checkbox>
        </w:sdtPr>
        <w:sdtEndPr/>
        <w:sdtContent>
          <w:r w:rsidR="00CC476B">
            <w:rPr>
              <w:rFonts w:ascii="MS Gothic" w:eastAsia="MS Gothic" w:hAnsi="MS Gothic" w:cs="Segoe UI Symbol" w:hint="eastAsia"/>
            </w:rPr>
            <w:t>☒</w:t>
          </w:r>
        </w:sdtContent>
      </w:sdt>
      <w:r w:rsidR="00C910F6">
        <w:t>yes</w:t>
      </w:r>
    </w:p>
    <w:p w14:paraId="7EC0E541" w14:textId="6599DB0D" w:rsidR="00C910F6" w:rsidRDefault="00D95B04" w:rsidP="00C910F6">
      <w:pPr>
        <w:pStyle w:val="ListBullet"/>
        <w:numPr>
          <w:ilvl w:val="0"/>
          <w:numId w:val="0"/>
        </w:numPr>
        <w:ind w:left="360"/>
      </w:pPr>
      <w:sdt>
        <w:sdtPr>
          <w:rPr>
            <w:rFonts w:ascii="Segoe UI Symbol" w:hAnsi="Segoe UI Symbol" w:cs="Segoe UI Symbol"/>
          </w:rPr>
          <w:id w:val="785860882"/>
          <w14:checkbox>
            <w14:checked w14:val="0"/>
            <w14:checkedState w14:val="2612" w14:font="MS Gothic"/>
            <w14:uncheckedState w14:val="2610" w14:font="MS Gothic"/>
          </w14:checkbox>
        </w:sdtPr>
        <w:sdtEndPr/>
        <w:sdtContent>
          <w:r w:rsidR="00CC476B">
            <w:rPr>
              <w:rFonts w:ascii="MS Gothic" w:eastAsia="MS Gothic" w:hAnsi="MS Gothic" w:cs="Segoe UI Symbol" w:hint="eastAsia"/>
            </w:rPr>
            <w:t>☐</w:t>
          </w:r>
        </w:sdtContent>
      </w:sdt>
      <w:r w:rsidR="00A92DE1">
        <w:t xml:space="preserve"> </w:t>
      </w:r>
      <w:r w:rsidR="00C910F6">
        <w:t>no</w:t>
      </w:r>
    </w:p>
    <w:p w14:paraId="3D56136F" w14:textId="77777777" w:rsidR="009C1822" w:rsidRDefault="009C1822" w:rsidP="007926AF">
      <w:pPr>
        <w:pStyle w:val="ListParagraph"/>
        <w:numPr>
          <w:ilvl w:val="0"/>
          <w:numId w:val="5"/>
        </w:numPr>
      </w:pPr>
      <w:r>
        <w:t xml:space="preserve">Appropriate Treatment Time for ST-Segment Elevation Myocardial Infarction (STEMI) Patients in the Emergency Department (ED) </w:t>
      </w:r>
    </w:p>
    <w:p w14:paraId="2A346304" w14:textId="77777777" w:rsidR="009C1822" w:rsidRDefault="009C1822" w:rsidP="007926AF">
      <w:pPr>
        <w:pStyle w:val="ListParagraph"/>
        <w:numPr>
          <w:ilvl w:val="0"/>
          <w:numId w:val="5"/>
        </w:numPr>
      </w:pPr>
      <w:r>
        <w:t xml:space="preserve">All-Cause Emergency Department Utilization Rate for Medicaid Beneficiaries in Need of Integrated Physical and Behavioral Health Care </w:t>
      </w:r>
    </w:p>
    <w:p w14:paraId="36C75430" w14:textId="77777777" w:rsidR="009C1822" w:rsidRDefault="009C1822" w:rsidP="007926AF">
      <w:pPr>
        <w:pStyle w:val="ListParagraph"/>
        <w:numPr>
          <w:ilvl w:val="0"/>
          <w:numId w:val="5"/>
        </w:numPr>
      </w:pPr>
      <w:r>
        <w:t xml:space="preserve">Ambulatory Care: Emergency Department Visits </w:t>
      </w:r>
    </w:p>
    <w:p w14:paraId="17F59712" w14:textId="77777777" w:rsidR="009C1822" w:rsidRDefault="009C1822" w:rsidP="007926AF">
      <w:pPr>
        <w:pStyle w:val="ListParagraph"/>
        <w:numPr>
          <w:ilvl w:val="0"/>
          <w:numId w:val="5"/>
        </w:numPr>
      </w:pPr>
      <w:r>
        <w:t xml:space="preserve">ED Median Time from ED Arrival to ED Departure for all Adult Patients </w:t>
      </w:r>
    </w:p>
    <w:p w14:paraId="43B15B04" w14:textId="77777777" w:rsidR="009C1822" w:rsidRDefault="009C1822" w:rsidP="007926AF">
      <w:pPr>
        <w:pStyle w:val="ListParagraph"/>
        <w:numPr>
          <w:ilvl w:val="0"/>
          <w:numId w:val="5"/>
        </w:numPr>
      </w:pPr>
      <w:r>
        <w:t xml:space="preserve">ED Median Time from ED Arrival to ED Departure for all Pediatric Patients </w:t>
      </w:r>
    </w:p>
    <w:p w14:paraId="1FEC0A5B" w14:textId="5BD19D40" w:rsidR="009C1822" w:rsidRDefault="009C1822" w:rsidP="007926AF">
      <w:pPr>
        <w:pStyle w:val="ListParagraph"/>
        <w:numPr>
          <w:ilvl w:val="0"/>
          <w:numId w:val="5"/>
        </w:numPr>
        <w:spacing w:after="240"/>
      </w:pPr>
      <w:r>
        <w:t xml:space="preserve">Door to Diagnostic Evaluation by a Provider Within 30 Minutes – Urgent Care Patients </w:t>
      </w:r>
    </w:p>
    <w:p w14:paraId="2981C857" w14:textId="3F3308FE" w:rsidR="00C910F6" w:rsidRDefault="006267EC" w:rsidP="00D273FE">
      <w:pPr>
        <w:pStyle w:val="Heading6"/>
      </w:pPr>
      <w:r>
        <w:t>3.</w:t>
      </w:r>
      <w:r w:rsidR="00897BAE">
        <w:t>3</w:t>
      </w:r>
      <w:r w:rsidR="00630D96">
        <w:t>.1.2</w:t>
      </w:r>
      <w:r w:rsidR="00C910F6">
        <w:tab/>
        <w:t xml:space="preserve">Competing Measures </w:t>
      </w:r>
    </w:p>
    <w:p w14:paraId="74FCBDD7" w14:textId="7B29382C" w:rsidR="00CD407D" w:rsidRPr="00CD407D" w:rsidRDefault="00B60E91" w:rsidP="00CD407D">
      <w:r>
        <w:t xml:space="preserve">This measure does not have </w:t>
      </w:r>
      <w:r w:rsidR="700D46B9">
        <w:t>either</w:t>
      </w:r>
      <w:r>
        <w:t xml:space="preserve"> the same target population </w:t>
      </w:r>
      <w:r w:rsidR="5E33C8D4">
        <w:t>or</w:t>
      </w:r>
      <w:r w:rsidR="00B70A58">
        <w:t xml:space="preserve"> the</w:t>
      </w:r>
      <w:r>
        <w:t xml:space="preserve"> same measure </w:t>
      </w:r>
      <w:r w:rsidR="00A954B9">
        <w:t xml:space="preserve">focus as other measures. The other related </w:t>
      </w:r>
      <w:r w:rsidR="00A545E4">
        <w:t xml:space="preserve">measures </w:t>
      </w:r>
      <w:r w:rsidR="00400A54">
        <w:t>do</w:t>
      </w:r>
      <w:r w:rsidR="00B2169D">
        <w:t xml:space="preserve"> not address </w:t>
      </w:r>
      <w:r w:rsidR="00F2588F">
        <w:t>multiple facets of boarding and</w:t>
      </w:r>
      <w:r w:rsidR="00B2169D">
        <w:t xml:space="preserve"> </w:t>
      </w:r>
      <w:r w:rsidR="00F2588F">
        <w:t>barriers to emergency care.</w:t>
      </w:r>
    </w:p>
    <w:p w14:paraId="6F54D0AA" w14:textId="782EEC76" w:rsidR="00513C4A" w:rsidRPr="005734B0" w:rsidRDefault="00513C4A" w:rsidP="00C23C64">
      <w:pPr>
        <w:pStyle w:val="Heading3"/>
      </w:pPr>
      <w:r w:rsidRPr="00C23C64">
        <w:t>Scientific Acceptability</w:t>
      </w:r>
    </w:p>
    <w:p w14:paraId="1B2478CE" w14:textId="227965EF" w:rsidR="00513C4A" w:rsidRDefault="006D7BFB" w:rsidP="00D273FE">
      <w:pPr>
        <w:pStyle w:val="Heading4"/>
      </w:pPr>
      <w:r>
        <w:t>4.</w:t>
      </w:r>
      <w:r w:rsidR="00513C4A">
        <w:t>1</w:t>
      </w:r>
      <w:r w:rsidR="00513C4A">
        <w:tab/>
        <w:t xml:space="preserve">What </w:t>
      </w:r>
      <w:r>
        <w:t xml:space="preserve">is the Source </w:t>
      </w:r>
      <w:r w:rsidR="00513C4A">
        <w:t xml:space="preserve">of Data Used for Testing? </w:t>
      </w:r>
    </w:p>
    <w:p w14:paraId="1FD38064" w14:textId="6A7A315C" w:rsidR="00513C4A" w:rsidRDefault="00513C4A" w:rsidP="00513C4A">
      <w:pPr>
        <w:pStyle w:val="BlueprintText"/>
      </w:pPr>
      <w:r>
        <w:t>Measure tested with data from</w:t>
      </w:r>
    </w:p>
    <w:p w14:paraId="0FF149E2" w14:textId="150E7588" w:rsidR="00513C4A" w:rsidRDefault="007C3029" w:rsidP="00A4036D">
      <w:pPr>
        <w:pStyle w:val="ListBullet"/>
        <w:numPr>
          <w:ilvl w:val="0"/>
          <w:numId w:val="0"/>
        </w:numPr>
        <w:ind w:left="360"/>
      </w:pPr>
      <w:r w:rsidRPr="00A4036D">
        <w:rPr>
          <w:rFonts w:ascii="Segoe UI Symbol" w:hAnsi="Segoe UI Symbol" w:cs="Segoe UI Symbol"/>
        </w:rPr>
        <w:t>☐</w:t>
      </w:r>
      <w:r w:rsidR="009E30C3">
        <w:t>a</w:t>
      </w:r>
      <w:r w:rsidR="00513C4A">
        <w:t>bstracted from paper record</w:t>
      </w:r>
    </w:p>
    <w:p w14:paraId="36AC1681" w14:textId="51071E15" w:rsidR="00513C4A" w:rsidRDefault="007C3029" w:rsidP="00A4036D">
      <w:pPr>
        <w:pStyle w:val="ListBullet"/>
        <w:numPr>
          <w:ilvl w:val="0"/>
          <w:numId w:val="0"/>
        </w:numPr>
        <w:ind w:left="360"/>
      </w:pPr>
      <w:r w:rsidRPr="00A4036D">
        <w:rPr>
          <w:rFonts w:ascii="Segoe UI Symbol" w:hAnsi="Segoe UI Symbol" w:cs="Segoe UI Symbol"/>
        </w:rPr>
        <w:t>☐</w:t>
      </w:r>
      <w:r w:rsidR="009E30C3">
        <w:t>a</w:t>
      </w:r>
      <w:r w:rsidR="00513C4A">
        <w:t>dministrative</w:t>
      </w:r>
      <w:r w:rsidR="00595CF5">
        <w:t xml:space="preserve">/management </w:t>
      </w:r>
    </w:p>
    <w:p w14:paraId="5440AD20" w14:textId="11EB3521" w:rsidR="0066154F" w:rsidRDefault="0066154F" w:rsidP="00A4036D">
      <w:pPr>
        <w:pStyle w:val="ListBullet"/>
        <w:numPr>
          <w:ilvl w:val="0"/>
          <w:numId w:val="0"/>
        </w:numPr>
        <w:ind w:left="360"/>
      </w:pPr>
      <w:r w:rsidRPr="00A4036D">
        <w:rPr>
          <w:rFonts w:ascii="Segoe UI Symbol" w:hAnsi="Segoe UI Symbol" w:cs="Segoe UI Symbol"/>
        </w:rPr>
        <w:t>☐</w:t>
      </w:r>
      <w:r>
        <w:t>claims</w:t>
      </w:r>
    </w:p>
    <w:p w14:paraId="730D2854" w14:textId="20FAF10C" w:rsidR="00595CF5" w:rsidRDefault="00595CF5" w:rsidP="00A4036D">
      <w:pPr>
        <w:pStyle w:val="ListBullet"/>
        <w:numPr>
          <w:ilvl w:val="0"/>
          <w:numId w:val="0"/>
        </w:numPr>
        <w:ind w:left="360"/>
      </w:pPr>
      <w:r w:rsidRPr="00A4036D">
        <w:rPr>
          <w:rFonts w:ascii="Segoe UI Symbol" w:hAnsi="Segoe UI Symbol" w:cs="Segoe UI Symbol"/>
        </w:rPr>
        <w:t>☐</w:t>
      </w:r>
      <w:r>
        <w:t>instrument-based</w:t>
      </w:r>
    </w:p>
    <w:p w14:paraId="50207C83" w14:textId="6E4B54F0" w:rsidR="0066154F" w:rsidRDefault="00595CF5" w:rsidP="00A4036D">
      <w:pPr>
        <w:pStyle w:val="ListBullet"/>
        <w:numPr>
          <w:ilvl w:val="0"/>
          <w:numId w:val="0"/>
        </w:numPr>
        <w:ind w:left="360"/>
      </w:pPr>
      <w:r w:rsidRPr="00A4036D">
        <w:rPr>
          <w:rFonts w:ascii="Segoe UI Symbol" w:hAnsi="Segoe UI Symbol" w:cs="Segoe UI Symbol"/>
        </w:rPr>
        <w:lastRenderedPageBreak/>
        <w:t>☐</w:t>
      </w:r>
      <w:r>
        <w:t xml:space="preserve">assessment </w:t>
      </w:r>
    </w:p>
    <w:p w14:paraId="02E81D92" w14:textId="194E3C09" w:rsidR="00513C4A" w:rsidRDefault="007C3029" w:rsidP="00A4036D">
      <w:pPr>
        <w:pStyle w:val="ListBullet"/>
        <w:numPr>
          <w:ilvl w:val="0"/>
          <w:numId w:val="0"/>
        </w:numPr>
        <w:ind w:left="360"/>
      </w:pPr>
      <w:r w:rsidRPr="00A4036D">
        <w:rPr>
          <w:rFonts w:ascii="Segoe UI Symbol" w:hAnsi="Segoe UI Symbol" w:cs="Segoe UI Symbol"/>
        </w:rPr>
        <w:t>☐</w:t>
      </w:r>
      <w:r w:rsidR="009E30C3">
        <w:t>c</w:t>
      </w:r>
      <w:r w:rsidR="00513C4A">
        <w:t>linical database/registry</w:t>
      </w:r>
    </w:p>
    <w:p w14:paraId="1DC32130" w14:textId="1BB07863" w:rsidR="00513C4A" w:rsidRPr="00EE2805" w:rsidRDefault="00D95B04" w:rsidP="00A4036D">
      <w:pPr>
        <w:pStyle w:val="ListBullet"/>
        <w:numPr>
          <w:ilvl w:val="0"/>
          <w:numId w:val="0"/>
        </w:numPr>
        <w:ind w:left="360"/>
        <w:rPr>
          <w:b/>
          <w:bCs/>
        </w:rPr>
      </w:pPr>
      <w:sdt>
        <w:sdtPr>
          <w:rPr>
            <w:rFonts w:ascii="Segoe UI Symbol" w:hAnsi="Segoe UI Symbol" w:cs="Segoe UI Symbol"/>
            <w:b/>
            <w:bCs/>
          </w:rPr>
          <w:id w:val="-414329384"/>
          <w14:checkbox>
            <w14:checked w14:val="1"/>
            <w14:checkedState w14:val="2612" w14:font="MS Gothic"/>
            <w14:uncheckedState w14:val="2610" w14:font="MS Gothic"/>
          </w14:checkbox>
        </w:sdtPr>
        <w:sdtEndPr/>
        <w:sdtContent>
          <w:r w:rsidR="00EE2805" w:rsidRPr="1B174BA5">
            <w:rPr>
              <w:rFonts w:ascii="MS Gothic" w:eastAsia="MS Gothic" w:hAnsi="MS Gothic" w:cs="Segoe UI Symbol"/>
              <w:b/>
              <w:bCs/>
            </w:rPr>
            <w:t>☒</w:t>
          </w:r>
        </w:sdtContent>
      </w:sdt>
      <w:r w:rsidR="00EE2805" w:rsidRPr="1B174BA5">
        <w:rPr>
          <w:b/>
          <w:bCs/>
        </w:rPr>
        <w:t xml:space="preserve"> </w:t>
      </w:r>
      <w:r w:rsidR="009E30C3" w:rsidRPr="1B174BA5">
        <w:rPr>
          <w:b/>
          <w:bCs/>
        </w:rPr>
        <w:t>a</w:t>
      </w:r>
      <w:r w:rsidR="00513C4A" w:rsidRPr="1B174BA5">
        <w:rPr>
          <w:b/>
          <w:bCs/>
        </w:rPr>
        <w:t xml:space="preserve">bstracted from </w:t>
      </w:r>
      <w:r w:rsidR="00390ACC" w:rsidRPr="1B174BA5">
        <w:rPr>
          <w:b/>
          <w:bCs/>
        </w:rPr>
        <w:t>electronic health records (</w:t>
      </w:r>
      <w:r w:rsidR="00513C4A" w:rsidRPr="1B174BA5">
        <w:rPr>
          <w:b/>
          <w:bCs/>
        </w:rPr>
        <w:t>EHRs</w:t>
      </w:r>
      <w:r w:rsidR="00390ACC" w:rsidRPr="1B174BA5">
        <w:rPr>
          <w:b/>
          <w:bCs/>
        </w:rPr>
        <w:t>)</w:t>
      </w:r>
    </w:p>
    <w:p w14:paraId="61DCFC4A" w14:textId="15EDB24F" w:rsidR="00513C4A" w:rsidRDefault="00D95B04" w:rsidP="00A4036D">
      <w:pPr>
        <w:pStyle w:val="ListBullet"/>
        <w:numPr>
          <w:ilvl w:val="0"/>
          <w:numId w:val="0"/>
        </w:numPr>
        <w:ind w:left="360"/>
      </w:pPr>
      <w:sdt>
        <w:sdtPr>
          <w:rPr>
            <w:rFonts w:ascii="Segoe UI Symbol" w:hAnsi="Segoe UI Symbol" w:cs="Segoe UI Symbol"/>
          </w:rPr>
          <w:id w:val="-1824111360"/>
          <w14:checkbox>
            <w14:checked w14:val="0"/>
            <w14:checkedState w14:val="2612" w14:font="MS Gothic"/>
            <w14:uncheckedState w14:val="2610" w14:font="MS Gothic"/>
          </w14:checkbox>
        </w:sdtPr>
        <w:sdtEndPr/>
        <w:sdtContent>
          <w:r w:rsidR="004E4147" w:rsidRPr="004E4147">
            <w:rPr>
              <w:rFonts w:ascii="MS Gothic" w:eastAsia="MS Gothic" w:hAnsi="MS Gothic" w:cs="Segoe UI Symbol" w:hint="eastAsia"/>
            </w:rPr>
            <w:t>☐</w:t>
          </w:r>
        </w:sdtContent>
      </w:sdt>
      <w:r w:rsidR="004E4147">
        <w:t xml:space="preserve"> </w:t>
      </w:r>
      <w:r w:rsidR="00390ACC">
        <w:t>electronic clinical quality measure (</w:t>
      </w:r>
      <w:r w:rsidR="00513C4A">
        <w:t>eCQM</w:t>
      </w:r>
      <w:r w:rsidR="00390ACC">
        <w:t>) Health Quality Measure Format</w:t>
      </w:r>
      <w:r w:rsidR="00513C4A">
        <w:t xml:space="preserve"> (HQMF) implemented in EHRs</w:t>
      </w:r>
      <w:r w:rsidR="0064118C">
        <w:t>/health information technology</w:t>
      </w:r>
    </w:p>
    <w:p w14:paraId="75C78928" w14:textId="6A0B3FD3" w:rsidR="00513C4A" w:rsidRPr="004E4147" w:rsidRDefault="00D95B04" w:rsidP="00A4036D">
      <w:pPr>
        <w:pStyle w:val="ListBullet"/>
        <w:numPr>
          <w:ilvl w:val="0"/>
          <w:numId w:val="0"/>
        </w:numPr>
        <w:ind w:left="360"/>
      </w:pPr>
      <w:sdt>
        <w:sdtPr>
          <w:rPr>
            <w:rFonts w:ascii="Segoe UI Symbol" w:hAnsi="Segoe UI Symbol" w:cs="Segoe UI Symbol"/>
          </w:rPr>
          <w:id w:val="491150527"/>
          <w14:checkbox>
            <w14:checked w14:val="0"/>
            <w14:checkedState w14:val="2612" w14:font="MS Gothic"/>
            <w14:uncheckedState w14:val="2610" w14:font="MS Gothic"/>
          </w14:checkbox>
        </w:sdtPr>
        <w:sdtEndPr/>
        <w:sdtContent>
          <w:r w:rsidR="004E4147" w:rsidRPr="004E4147">
            <w:rPr>
              <w:rFonts w:ascii="MS Gothic" w:eastAsia="MS Gothic" w:hAnsi="MS Gothic" w:cs="Segoe UI Symbol" w:hint="eastAsia"/>
            </w:rPr>
            <w:t>☐</w:t>
          </w:r>
        </w:sdtContent>
      </w:sdt>
      <w:r w:rsidR="009E30C3" w:rsidRPr="004E4147">
        <w:t>o</w:t>
      </w:r>
      <w:r w:rsidR="00513C4A" w:rsidRPr="004E4147">
        <w:t>ther (</w:t>
      </w:r>
      <w:r w:rsidR="0046641F" w:rsidRPr="004E4147">
        <w:t>specify</w:t>
      </w:r>
      <w:r w:rsidR="00513C4A" w:rsidRPr="004E4147">
        <w:t>)</w:t>
      </w:r>
      <w:r w:rsidR="006F778C" w:rsidRPr="004E4147">
        <w:t xml:space="preserve"> </w:t>
      </w:r>
    </w:p>
    <w:p w14:paraId="02E5C16A" w14:textId="659BC415" w:rsidR="00513C4A" w:rsidRDefault="006D366D" w:rsidP="00D273FE">
      <w:pPr>
        <w:pStyle w:val="Heading4"/>
      </w:pPr>
      <w:r>
        <w:t>4</w:t>
      </w:r>
      <w:r w:rsidR="00513C4A">
        <w:t>.2</w:t>
      </w:r>
      <w:r>
        <w:tab/>
      </w:r>
      <w:r w:rsidR="00513C4A">
        <w:t xml:space="preserve">Identify the Specific Dataset </w:t>
      </w:r>
    </w:p>
    <w:p w14:paraId="3427CFDF" w14:textId="18566222" w:rsidR="008A755B" w:rsidRPr="008A755B" w:rsidRDefault="008A755B" w:rsidP="008A755B">
      <w:r>
        <w:t>Three datasets were used to test the ECCQ eCQM, derived from EHR data from multiple testing partners</w:t>
      </w:r>
      <w:r w:rsidR="0099455C">
        <w:t xml:space="preserve">. </w:t>
      </w:r>
      <w:r>
        <w:t xml:space="preserve">There was an overall mix of geographic regions, hospital size, teaching status, trauma level, and EHR vendor. Dataset A was the primary dataset used for testing, with Dataset B used to </w:t>
      </w:r>
      <w:r w:rsidR="5A54B943">
        <w:t>replicate</w:t>
      </w:r>
      <w:r w:rsidR="6925303A">
        <w:t xml:space="preserve"> the </w:t>
      </w:r>
      <w:r w:rsidR="28A93100">
        <w:t xml:space="preserve">measure </w:t>
      </w:r>
      <w:r>
        <w:t>scores and calculate reliability, and Dataset C used for data element validity.  </w:t>
      </w:r>
    </w:p>
    <w:p w14:paraId="765E5C6D" w14:textId="19A188A9" w:rsidR="008A755B" w:rsidRPr="008A755B" w:rsidRDefault="008A755B" w:rsidP="008A755B">
      <w:r w:rsidRPr="4BBDBE69">
        <w:rPr>
          <w:b/>
          <w:bCs/>
        </w:rPr>
        <w:t>Dataset A</w:t>
      </w:r>
      <w:r>
        <w:t xml:space="preserve"> consisted of a diverse array of 20 </w:t>
      </w:r>
      <w:proofErr w:type="spellStart"/>
      <w:r>
        <w:t>EDs.</w:t>
      </w:r>
      <w:proofErr w:type="spellEnd"/>
      <w:r>
        <w:t xml:space="preserve"> </w:t>
      </w:r>
      <w:r w:rsidR="08E09516">
        <w:t xml:space="preserve">Dataset A </w:t>
      </w:r>
      <w:r>
        <w:t>represented 11 health systems, Epic and Cerner EHR systems, four rural EDs, and a mix of geographic locations, bed size, teaching status, and trauma level. Four sites were rural, although not in the REHQR program: ED4, ED7, ED14, ED19. All but ED19 are a part of a larger health system. Dataset A used calendar years 2022 and 2023, both combined and as separate performance periods, for different types of analyses. This allowed us to look at the measure score for each site over two years, creating 40 data points, to test volume standardization (comparing hospital scores with similar number of encounters), and it allowed us to see measure score changes year over year.  </w:t>
      </w:r>
    </w:p>
    <w:p w14:paraId="1D0CA734" w14:textId="77777777" w:rsidR="008A755B" w:rsidRPr="008A755B" w:rsidRDefault="008A755B" w:rsidP="008A755B">
      <w:r w:rsidRPr="008A755B">
        <w:t>Results are labeled by the dataset name and year as follows:  </w:t>
      </w:r>
    </w:p>
    <w:p w14:paraId="0977350F" w14:textId="77777777" w:rsidR="008A755B" w:rsidRPr="008A755B" w:rsidRDefault="008A755B" w:rsidP="007926AF">
      <w:pPr>
        <w:numPr>
          <w:ilvl w:val="0"/>
          <w:numId w:val="6"/>
        </w:numPr>
      </w:pPr>
      <w:r w:rsidRPr="008A755B">
        <w:rPr>
          <w:b/>
          <w:bCs/>
        </w:rPr>
        <w:t>Dataset A 2-years</w:t>
      </w:r>
      <w:r w:rsidRPr="008A755B">
        <w:t xml:space="preserve"> (2022-2023) was 20 EDs over two years, so using 40 ED data points; it represented 2,196,714 </w:t>
      </w:r>
      <w:proofErr w:type="gramStart"/>
      <w:r w:rsidRPr="008A755B">
        <w:t>encounters;</w:t>
      </w:r>
      <w:proofErr w:type="gramEnd"/>
      <w:r w:rsidRPr="008A755B">
        <w:t>  </w:t>
      </w:r>
    </w:p>
    <w:p w14:paraId="3D3B38A5" w14:textId="77777777" w:rsidR="008A755B" w:rsidRPr="008A755B" w:rsidRDefault="008A755B" w:rsidP="007926AF">
      <w:pPr>
        <w:numPr>
          <w:ilvl w:val="0"/>
          <w:numId w:val="7"/>
        </w:numPr>
      </w:pPr>
      <w:r w:rsidRPr="008A755B">
        <w:rPr>
          <w:b/>
          <w:bCs/>
        </w:rPr>
        <w:t>Dataset A 2022</w:t>
      </w:r>
      <w:r w:rsidRPr="008A755B">
        <w:t xml:space="preserve"> had 20 EDs, representing 1,077,773 encounters; and  </w:t>
      </w:r>
    </w:p>
    <w:p w14:paraId="23F8F4A0" w14:textId="77777777" w:rsidR="008A755B" w:rsidRPr="008A755B" w:rsidRDefault="008A755B" w:rsidP="007926AF">
      <w:pPr>
        <w:numPr>
          <w:ilvl w:val="0"/>
          <w:numId w:val="8"/>
        </w:numPr>
      </w:pPr>
      <w:r w:rsidRPr="008A755B">
        <w:rPr>
          <w:b/>
          <w:bCs/>
        </w:rPr>
        <w:t>Dataset A 2023</w:t>
      </w:r>
      <w:r w:rsidRPr="008A755B">
        <w:t xml:space="preserve"> had the same 20 EDs, representing 1,118,941 encounters.  </w:t>
      </w:r>
    </w:p>
    <w:p w14:paraId="20CD5A12" w14:textId="77777777" w:rsidR="008A755B" w:rsidRPr="008A755B" w:rsidRDefault="008A755B" w:rsidP="008A755B">
      <w:r w:rsidRPr="008A755B">
        <w:t>Dataset A included all required data elements to calculate measure scores, and patient characteristics such as date of birth, gender/sex, race, payer.  </w:t>
      </w:r>
    </w:p>
    <w:p w14:paraId="01052402" w14:textId="77777777" w:rsidR="008A755B" w:rsidRPr="008A755B" w:rsidRDefault="008A755B" w:rsidP="008A755B">
      <w:r w:rsidRPr="008A755B">
        <w:rPr>
          <w:b/>
          <w:bCs/>
        </w:rPr>
        <w:t>Dataset B</w:t>
      </w:r>
      <w:r w:rsidRPr="008A755B">
        <w:t xml:space="preserve"> consisted of 12 hospital-based EDs within one large health system, using Epic EHR system. EDs were in the South, ranging in bed size, teaching status, and trauma level. Two EDs were rural, although not in the REQHR program: ED1, ED3. Dataset B included one calendar year of data, 2023.  </w:t>
      </w:r>
    </w:p>
    <w:p w14:paraId="3D430E6F" w14:textId="77777777" w:rsidR="008A755B" w:rsidRPr="008A755B" w:rsidRDefault="008A755B" w:rsidP="008A755B">
      <w:r w:rsidRPr="008A755B">
        <w:t>Dataset B was 12 EDs, representing 832,056 encounters.  </w:t>
      </w:r>
    </w:p>
    <w:p w14:paraId="508D8A85" w14:textId="77777777" w:rsidR="008A755B" w:rsidRPr="008A755B" w:rsidRDefault="008A755B" w:rsidP="008A755B">
      <w:r w:rsidRPr="008A755B">
        <w:t>Dataset B included all required data elements to calculate measure scores, and patient characteristics such as date of birth, gender/sex, and race but not payer. </w:t>
      </w:r>
    </w:p>
    <w:p w14:paraId="4859D8C3" w14:textId="2DF893D5" w:rsidR="00282B6C" w:rsidRPr="00011F80" w:rsidRDefault="008A755B" w:rsidP="00282B6C">
      <w:r w:rsidRPr="1B174BA5">
        <w:rPr>
          <w:b/>
          <w:bCs/>
        </w:rPr>
        <w:t>Dataset C</w:t>
      </w:r>
      <w:r>
        <w:t xml:space="preserve"> consisted of six hospital-based EDs</w:t>
      </w:r>
      <w:r w:rsidR="00282B6C">
        <w:t xml:space="preserve"> within one health system, using Epic EHR system. EDs were in the Northeast, ranging in bed size, teaching status, with one trauma center.  </w:t>
      </w:r>
      <w:r w:rsidR="2F944332">
        <w:t>Dataset C includes 390,500 total encounters in calendar year 2023.</w:t>
      </w:r>
      <w:r w:rsidR="00282B6C">
        <w:t xml:space="preserve"> </w:t>
      </w:r>
    </w:p>
    <w:p w14:paraId="45E69719" w14:textId="191AB897" w:rsidR="00300F1C" w:rsidRDefault="006D366D" w:rsidP="00D273FE">
      <w:pPr>
        <w:pStyle w:val="Heading4"/>
      </w:pPr>
      <w:r>
        <w:t>4</w:t>
      </w:r>
      <w:r w:rsidR="00513C4A">
        <w:t>.3</w:t>
      </w:r>
      <w:r w:rsidR="00513C4A">
        <w:tab/>
      </w:r>
      <w:r w:rsidR="00300F1C">
        <w:t>Testing Data</w:t>
      </w:r>
    </w:p>
    <w:p w14:paraId="187A34E1" w14:textId="5BA9EADE" w:rsidR="00513C4A" w:rsidRDefault="00300F1C" w:rsidP="00D273FE">
      <w:pPr>
        <w:pStyle w:val="Heading5"/>
      </w:pPr>
      <w:r>
        <w:t>4.3.1</w:t>
      </w:r>
      <w:r>
        <w:tab/>
      </w:r>
      <w:r w:rsidR="00513C4A">
        <w:t xml:space="preserve">What Are the Dates of the Data Used in Testing? </w:t>
      </w:r>
    </w:p>
    <w:p w14:paraId="234B4EFE" w14:textId="37E6DCA8" w:rsidR="00513C4A" w:rsidRPr="00CC2CCF" w:rsidRDefault="0082462A" w:rsidP="005D3DE1">
      <w:pPr>
        <w:pStyle w:val="BlueprintText"/>
      </w:pPr>
      <w:r>
        <w:lastRenderedPageBreak/>
        <w:t xml:space="preserve">Across the three datasets, data from calendar years 2022 and 2023 were used. </w:t>
      </w:r>
    </w:p>
    <w:p w14:paraId="1B22230B" w14:textId="67A59502" w:rsidR="00513C4A" w:rsidRDefault="006D366D" w:rsidP="00D273FE">
      <w:pPr>
        <w:pStyle w:val="Heading5"/>
      </w:pPr>
      <w:r>
        <w:t>4</w:t>
      </w:r>
      <w:r w:rsidR="00513C4A">
        <w:t>.</w:t>
      </w:r>
      <w:r w:rsidR="00300F1C">
        <w:t>3.2</w:t>
      </w:r>
      <w:r>
        <w:tab/>
      </w:r>
      <w:r w:rsidR="00513C4A">
        <w:t xml:space="preserve">What Levels of Analysis </w:t>
      </w:r>
      <w:r w:rsidR="001D129D">
        <w:t xml:space="preserve">Did the Measure Developer </w:t>
      </w:r>
      <w:r w:rsidR="00513C4A">
        <w:t xml:space="preserve">Test? </w:t>
      </w:r>
    </w:p>
    <w:p w14:paraId="486210A4" w14:textId="69A3601F" w:rsidR="1F3B2576" w:rsidRDefault="0082462A" w:rsidP="005D3DE1">
      <w:pPr>
        <w:pStyle w:val="BlueprintText"/>
      </w:pPr>
      <w:r>
        <w:t xml:space="preserve">Analyses were performed at the facility </w:t>
      </w:r>
      <w:r w:rsidR="00287F66">
        <w:t xml:space="preserve">level. </w:t>
      </w:r>
    </w:p>
    <w:p w14:paraId="30F8CF11" w14:textId="0E13EDD4" w:rsidR="00513C4A" w:rsidRDefault="00513C4A" w:rsidP="00513C4A">
      <w:pPr>
        <w:pStyle w:val="BlueprintText"/>
      </w:pPr>
      <w:r>
        <w:t>Measure specified to measure performance of</w:t>
      </w:r>
      <w:r w:rsidRPr="00572795">
        <w:rPr>
          <w:i/>
          <w:iCs/>
          <w:color w:val="4169E1"/>
        </w:rPr>
        <w:t xml:space="preserve"> </w:t>
      </w:r>
    </w:p>
    <w:p w14:paraId="542C957E" w14:textId="5DDB9010" w:rsidR="00513C4A" w:rsidRDefault="007C3029" w:rsidP="00A4036D">
      <w:pPr>
        <w:pStyle w:val="ListBullet"/>
        <w:numPr>
          <w:ilvl w:val="0"/>
          <w:numId w:val="0"/>
        </w:numPr>
        <w:ind w:left="360"/>
      </w:pPr>
      <w:bookmarkStart w:id="22" w:name="_Hlk58308255"/>
      <w:r w:rsidRPr="00A4036D">
        <w:rPr>
          <w:rFonts w:ascii="Segoe UI Symbol" w:hAnsi="Segoe UI Symbol" w:cs="Segoe UI Symbol"/>
        </w:rPr>
        <w:t>☐</w:t>
      </w:r>
      <w:r w:rsidR="009E30C3">
        <w:t>i</w:t>
      </w:r>
      <w:r w:rsidR="00513C4A">
        <w:t>ndividual clinician</w:t>
      </w:r>
    </w:p>
    <w:p w14:paraId="4D6FE634" w14:textId="0CCA43D1" w:rsidR="00513C4A" w:rsidRDefault="007C3029" w:rsidP="00A4036D">
      <w:pPr>
        <w:pStyle w:val="ListBullet"/>
        <w:numPr>
          <w:ilvl w:val="0"/>
          <w:numId w:val="0"/>
        </w:numPr>
        <w:ind w:left="360"/>
      </w:pPr>
      <w:r w:rsidRPr="00A4036D">
        <w:rPr>
          <w:rFonts w:ascii="Segoe UI Symbol" w:hAnsi="Segoe UI Symbol" w:cs="Segoe UI Symbol"/>
        </w:rPr>
        <w:t>☐</w:t>
      </w:r>
      <w:r w:rsidR="009E30C3">
        <w:t>g</w:t>
      </w:r>
      <w:r w:rsidR="00513C4A">
        <w:t>roup/practice</w:t>
      </w:r>
    </w:p>
    <w:p w14:paraId="58DF3427" w14:textId="344F3BB7" w:rsidR="00513C4A" w:rsidRPr="00540FAD" w:rsidRDefault="00D95B04" w:rsidP="00A4036D">
      <w:pPr>
        <w:pStyle w:val="ListBullet"/>
        <w:numPr>
          <w:ilvl w:val="0"/>
          <w:numId w:val="0"/>
        </w:numPr>
        <w:ind w:left="360"/>
        <w:rPr>
          <w:b/>
          <w:bCs/>
        </w:rPr>
      </w:pPr>
      <w:sdt>
        <w:sdtPr>
          <w:rPr>
            <w:rFonts w:ascii="Segoe UI Symbol" w:hAnsi="Segoe UI Symbol" w:cs="Segoe UI Symbol"/>
            <w:b/>
            <w:bCs/>
          </w:rPr>
          <w:id w:val="1857847443"/>
          <w14:checkbox>
            <w14:checked w14:val="1"/>
            <w14:checkedState w14:val="2612" w14:font="MS Gothic"/>
            <w14:uncheckedState w14:val="2610" w14:font="MS Gothic"/>
          </w14:checkbox>
        </w:sdtPr>
        <w:sdtEndPr/>
        <w:sdtContent>
          <w:r w:rsidR="00E27AC6" w:rsidRPr="00540FAD">
            <w:rPr>
              <w:rFonts w:ascii="MS Gothic" w:eastAsia="MS Gothic" w:hAnsi="MS Gothic" w:cs="Segoe UI Symbol" w:hint="eastAsia"/>
              <w:b/>
              <w:bCs/>
            </w:rPr>
            <w:t>☒</w:t>
          </w:r>
        </w:sdtContent>
      </w:sdt>
      <w:r w:rsidR="009E30C3" w:rsidRPr="00540FAD">
        <w:rPr>
          <w:b/>
          <w:bCs/>
        </w:rPr>
        <w:t>h</w:t>
      </w:r>
      <w:r w:rsidR="00513C4A" w:rsidRPr="00540FAD">
        <w:rPr>
          <w:b/>
          <w:bCs/>
        </w:rPr>
        <w:t>ospital/facility/agency</w:t>
      </w:r>
    </w:p>
    <w:p w14:paraId="05E09F27" w14:textId="3ACB243D" w:rsidR="00513C4A" w:rsidRDefault="007C3029" w:rsidP="00A4036D">
      <w:pPr>
        <w:pStyle w:val="ListBullet"/>
        <w:numPr>
          <w:ilvl w:val="0"/>
          <w:numId w:val="0"/>
        </w:numPr>
        <w:ind w:left="360"/>
      </w:pPr>
      <w:r w:rsidRPr="00A4036D">
        <w:rPr>
          <w:rFonts w:ascii="Segoe UI Symbol" w:hAnsi="Segoe UI Symbol" w:cs="Segoe UI Symbol"/>
        </w:rPr>
        <w:t>☐</w:t>
      </w:r>
      <w:r w:rsidR="009E30C3">
        <w:t>h</w:t>
      </w:r>
      <w:r w:rsidR="00513C4A">
        <w:t>ealth plan</w:t>
      </w:r>
    </w:p>
    <w:p w14:paraId="1D5FF718" w14:textId="2CC1435D" w:rsidR="00595CF5" w:rsidRDefault="00595CF5" w:rsidP="00A4036D">
      <w:pPr>
        <w:pStyle w:val="ListBullet"/>
        <w:numPr>
          <w:ilvl w:val="0"/>
          <w:numId w:val="0"/>
        </w:numPr>
        <w:ind w:left="360"/>
      </w:pPr>
      <w:r w:rsidRPr="00A4036D">
        <w:rPr>
          <w:rFonts w:ascii="Segoe UI Symbol" w:hAnsi="Segoe UI Symbol" w:cs="Segoe UI Symbol"/>
        </w:rPr>
        <w:t>☐</w:t>
      </w:r>
      <w:r>
        <w:t>accountable care organization</w:t>
      </w:r>
    </w:p>
    <w:p w14:paraId="0A7374B0" w14:textId="7E42D182" w:rsidR="00B350C5" w:rsidRDefault="00B350C5" w:rsidP="00A4036D">
      <w:pPr>
        <w:pStyle w:val="ListBullet"/>
        <w:numPr>
          <w:ilvl w:val="0"/>
          <w:numId w:val="0"/>
        </w:numPr>
        <w:ind w:left="360"/>
      </w:pPr>
      <w:r w:rsidRPr="00A4036D">
        <w:rPr>
          <w:rFonts w:ascii="Segoe UI Symbol" w:hAnsi="Segoe UI Symbol" w:cs="Segoe UI Symbol"/>
        </w:rPr>
        <w:t>☐</w:t>
      </w:r>
      <w:r>
        <w:t>geographic population</w:t>
      </w:r>
    </w:p>
    <w:p w14:paraId="15464CA0" w14:textId="2145FB5F" w:rsidR="00513C4A" w:rsidRDefault="007C3029" w:rsidP="00A4036D">
      <w:pPr>
        <w:pStyle w:val="ListBullet"/>
        <w:numPr>
          <w:ilvl w:val="0"/>
          <w:numId w:val="0"/>
        </w:numPr>
        <w:ind w:left="360"/>
      </w:pPr>
      <w:r w:rsidRPr="00A4036D">
        <w:rPr>
          <w:rFonts w:ascii="Segoe UI Symbol" w:hAnsi="Segoe UI Symbol" w:cs="Segoe UI Symbol"/>
        </w:rPr>
        <w:t>☐</w:t>
      </w:r>
      <w:r w:rsidR="009E30C3">
        <w:t>o</w:t>
      </w:r>
      <w:r w:rsidR="00513C4A">
        <w:t>ther (</w:t>
      </w:r>
      <w:r w:rsidR="0046641F">
        <w:t>specify</w:t>
      </w:r>
      <w:r w:rsidR="00513C4A">
        <w:t>)</w:t>
      </w:r>
      <w:r w:rsidR="006F778C" w:rsidRPr="00A4036D">
        <w:t xml:space="preserve"> </w:t>
      </w:r>
    </w:p>
    <w:bookmarkEnd w:id="22"/>
    <w:p w14:paraId="44F6451B" w14:textId="2465ABA8" w:rsidR="00513C4A" w:rsidRDefault="00513C4A" w:rsidP="00513C4A">
      <w:pPr>
        <w:pStyle w:val="BlueprintText"/>
      </w:pPr>
      <w:r>
        <w:t>Measure tested at level of</w:t>
      </w:r>
    </w:p>
    <w:p w14:paraId="36C5F261" w14:textId="32A35E80" w:rsidR="00513C4A" w:rsidRDefault="00554684" w:rsidP="00A4036D">
      <w:pPr>
        <w:pStyle w:val="ListBullet"/>
        <w:numPr>
          <w:ilvl w:val="0"/>
          <w:numId w:val="0"/>
        </w:numPr>
        <w:ind w:left="360"/>
      </w:pPr>
      <w:bookmarkStart w:id="23" w:name="_Hlk140671318"/>
      <w:r>
        <w:rPr>
          <w:rFonts w:ascii="MS Gothic" w:eastAsia="MS Gothic" w:hAnsi="MS Gothic" w:hint="eastAsia"/>
        </w:rPr>
        <w:t>☐</w:t>
      </w:r>
      <w:r w:rsidR="002C1695">
        <w:t>i</w:t>
      </w:r>
      <w:r w:rsidR="00513C4A">
        <w:t>ndividual clinician</w:t>
      </w:r>
    </w:p>
    <w:p w14:paraId="62F03759" w14:textId="4EB2BE95" w:rsidR="00513C4A" w:rsidRDefault="007C3029" w:rsidP="00A4036D">
      <w:pPr>
        <w:pStyle w:val="ListBullet"/>
        <w:numPr>
          <w:ilvl w:val="0"/>
          <w:numId w:val="0"/>
        </w:numPr>
        <w:ind w:left="360"/>
      </w:pPr>
      <w:r w:rsidRPr="00A4036D">
        <w:rPr>
          <w:rFonts w:ascii="Segoe UI Symbol" w:hAnsi="Segoe UI Symbol" w:cs="Segoe UI Symbol"/>
        </w:rPr>
        <w:t>☐</w:t>
      </w:r>
      <w:r w:rsidR="002C1695">
        <w:t>g</w:t>
      </w:r>
      <w:r w:rsidR="00513C4A">
        <w:t>roup/practice</w:t>
      </w:r>
    </w:p>
    <w:p w14:paraId="34882F71" w14:textId="56356D20" w:rsidR="00513C4A" w:rsidRPr="006D2A9D" w:rsidRDefault="00D95B04" w:rsidP="00A4036D">
      <w:pPr>
        <w:pStyle w:val="ListBullet"/>
        <w:numPr>
          <w:ilvl w:val="0"/>
          <w:numId w:val="0"/>
        </w:numPr>
        <w:ind w:left="360"/>
        <w:rPr>
          <w:b/>
          <w:bCs/>
        </w:rPr>
      </w:pPr>
      <w:sdt>
        <w:sdtPr>
          <w:rPr>
            <w:rFonts w:ascii="Segoe UI Symbol" w:hAnsi="Segoe UI Symbol" w:cs="Segoe UI Symbol"/>
            <w:b/>
            <w:bCs/>
          </w:rPr>
          <w:id w:val="1388223510"/>
          <w14:checkbox>
            <w14:checked w14:val="1"/>
            <w14:checkedState w14:val="2612" w14:font="MS Gothic"/>
            <w14:uncheckedState w14:val="2610" w14:font="MS Gothic"/>
          </w14:checkbox>
        </w:sdtPr>
        <w:sdtEndPr/>
        <w:sdtContent>
          <w:r w:rsidR="006D2A9D" w:rsidRPr="006D2A9D">
            <w:rPr>
              <w:rFonts w:ascii="MS Gothic" w:eastAsia="MS Gothic" w:hAnsi="MS Gothic" w:cs="Segoe UI Symbol" w:hint="eastAsia"/>
              <w:b/>
              <w:bCs/>
            </w:rPr>
            <w:t>☒</w:t>
          </w:r>
        </w:sdtContent>
      </w:sdt>
      <w:r w:rsidR="006D2A9D" w:rsidRPr="006D2A9D">
        <w:rPr>
          <w:b/>
          <w:bCs/>
        </w:rPr>
        <w:t xml:space="preserve"> </w:t>
      </w:r>
      <w:r w:rsidR="002C1695" w:rsidRPr="006D2A9D">
        <w:rPr>
          <w:b/>
          <w:bCs/>
        </w:rPr>
        <w:t>h</w:t>
      </w:r>
      <w:r w:rsidR="00513C4A" w:rsidRPr="006D2A9D">
        <w:rPr>
          <w:b/>
          <w:bCs/>
        </w:rPr>
        <w:t>ospital/facility/agency</w:t>
      </w:r>
    </w:p>
    <w:p w14:paraId="6790E148" w14:textId="5AA034F1" w:rsidR="00513C4A" w:rsidRDefault="007C3029" w:rsidP="00A4036D">
      <w:pPr>
        <w:pStyle w:val="ListBullet"/>
        <w:numPr>
          <w:ilvl w:val="0"/>
          <w:numId w:val="0"/>
        </w:numPr>
        <w:ind w:left="360"/>
      </w:pPr>
      <w:r w:rsidRPr="00A4036D">
        <w:rPr>
          <w:rFonts w:ascii="Segoe UI Symbol" w:hAnsi="Segoe UI Symbol" w:cs="Segoe UI Symbol"/>
        </w:rPr>
        <w:t>☐</w:t>
      </w:r>
      <w:r w:rsidR="002C1695">
        <w:t>h</w:t>
      </w:r>
      <w:r w:rsidR="00513C4A">
        <w:t>ealth plan</w:t>
      </w:r>
    </w:p>
    <w:p w14:paraId="0D29CEB8" w14:textId="41F97DBE" w:rsidR="00B350C5" w:rsidRDefault="00B350C5" w:rsidP="00A4036D">
      <w:pPr>
        <w:pStyle w:val="ListBullet"/>
        <w:numPr>
          <w:ilvl w:val="0"/>
          <w:numId w:val="0"/>
        </w:numPr>
        <w:ind w:left="360"/>
      </w:pPr>
      <w:r w:rsidRPr="00A4036D">
        <w:rPr>
          <w:rFonts w:ascii="Segoe UI Symbol" w:hAnsi="Segoe UI Symbol" w:cs="Segoe UI Symbol"/>
        </w:rPr>
        <w:t>☐</w:t>
      </w:r>
      <w:r>
        <w:t>accountable care organization</w:t>
      </w:r>
    </w:p>
    <w:p w14:paraId="5670F13B" w14:textId="2DD5A98A" w:rsidR="00B350C5" w:rsidRPr="006D2A9D" w:rsidRDefault="00B350C5" w:rsidP="00A4036D">
      <w:pPr>
        <w:pStyle w:val="ListBullet"/>
        <w:numPr>
          <w:ilvl w:val="0"/>
          <w:numId w:val="0"/>
        </w:numPr>
        <w:ind w:left="360"/>
      </w:pPr>
      <w:r w:rsidRPr="006D2A9D">
        <w:rPr>
          <w:rFonts w:ascii="Segoe UI Symbol" w:hAnsi="Segoe UI Symbol" w:cs="Segoe UI Symbol"/>
        </w:rPr>
        <w:t>☐</w:t>
      </w:r>
      <w:r w:rsidRPr="006D2A9D">
        <w:t>geographic population</w:t>
      </w:r>
    </w:p>
    <w:p w14:paraId="3C1F8230" w14:textId="61D163FA" w:rsidR="00513C4A" w:rsidRPr="006D2A9D" w:rsidRDefault="00D95B04" w:rsidP="00A4036D">
      <w:pPr>
        <w:pStyle w:val="ListBullet"/>
        <w:numPr>
          <w:ilvl w:val="0"/>
          <w:numId w:val="0"/>
        </w:numPr>
        <w:ind w:left="360"/>
      </w:pPr>
      <w:sdt>
        <w:sdtPr>
          <w:rPr>
            <w:rFonts w:ascii="Segoe UI Symbol" w:hAnsi="Segoe UI Symbol" w:cs="Segoe UI Symbol"/>
          </w:rPr>
          <w:id w:val="688638324"/>
          <w14:checkbox>
            <w14:checked w14:val="0"/>
            <w14:checkedState w14:val="2612" w14:font="MS Gothic"/>
            <w14:uncheckedState w14:val="2610" w14:font="MS Gothic"/>
          </w14:checkbox>
        </w:sdtPr>
        <w:sdtEndPr/>
        <w:sdtContent>
          <w:r w:rsidR="001A577B">
            <w:rPr>
              <w:rFonts w:ascii="MS Gothic" w:eastAsia="MS Gothic" w:hAnsi="MS Gothic" w:cs="Segoe UI Symbol" w:hint="eastAsia"/>
            </w:rPr>
            <w:t>☐</w:t>
          </w:r>
        </w:sdtContent>
      </w:sdt>
      <w:r w:rsidR="002C1695" w:rsidRPr="006D2A9D">
        <w:t>o</w:t>
      </w:r>
      <w:r w:rsidR="00513C4A" w:rsidRPr="006D2A9D">
        <w:t>ther (</w:t>
      </w:r>
      <w:r w:rsidR="0046641F" w:rsidRPr="006D2A9D">
        <w:t>specify</w:t>
      </w:r>
      <w:r w:rsidR="00513C4A" w:rsidRPr="006D2A9D">
        <w:t>)</w:t>
      </w:r>
      <w:r w:rsidR="006F778C" w:rsidRPr="006D2A9D">
        <w:t xml:space="preserve"> </w:t>
      </w:r>
    </w:p>
    <w:bookmarkEnd w:id="23"/>
    <w:p w14:paraId="1FD24F05" w14:textId="56AA6BA7" w:rsidR="00513C4A" w:rsidRDefault="00300F1C" w:rsidP="00D273FE">
      <w:pPr>
        <w:pStyle w:val="Heading5"/>
      </w:pPr>
      <w:r>
        <w:t>4</w:t>
      </w:r>
      <w:r w:rsidR="00513C4A">
        <w:t>.</w:t>
      </w:r>
      <w:r>
        <w:t>3.3</w:t>
      </w:r>
      <w:r w:rsidR="00513C4A">
        <w:tab/>
        <w:t xml:space="preserve">How Many and Which Measured Entities Were Included in the Testing and Analysis? </w:t>
      </w:r>
    </w:p>
    <w:p w14:paraId="3BD1852E" w14:textId="5AB5F1A9" w:rsidR="00615AE1" w:rsidRPr="006C5AD0" w:rsidRDefault="00E70032" w:rsidP="005D3DE1">
      <w:pPr>
        <w:pStyle w:val="BlueprintText"/>
      </w:pPr>
      <w:r>
        <w:t xml:space="preserve">Thirty-eight facilities were measured across the three datasets. </w:t>
      </w:r>
    </w:p>
    <w:p w14:paraId="21CD2269" w14:textId="3B40202C" w:rsidR="00513C4A" w:rsidRDefault="00300F1C" w:rsidP="00D273FE">
      <w:pPr>
        <w:pStyle w:val="Heading5"/>
      </w:pPr>
      <w:r>
        <w:t>4.3.4</w:t>
      </w:r>
      <w:r>
        <w:tab/>
      </w:r>
      <w:r w:rsidR="00513C4A">
        <w:t xml:space="preserve">How Many and Which Patients Were Included in the Testing and Analysis? </w:t>
      </w:r>
    </w:p>
    <w:p w14:paraId="11981B31" w14:textId="08FB0A44" w:rsidR="29018A57" w:rsidRDefault="003974F6" w:rsidP="005D3DE1">
      <w:pPr>
        <w:pStyle w:val="BlueprintText"/>
      </w:pPr>
      <w:r>
        <w:t xml:space="preserve">Because the measure can include multiple encounters </w:t>
      </w:r>
      <w:r w:rsidR="007D249E">
        <w:t xml:space="preserve">for </w:t>
      </w:r>
      <w:r>
        <w:t xml:space="preserve">the same patient within a performance period, </w:t>
      </w:r>
      <w:r w:rsidR="00FC4EE1">
        <w:t xml:space="preserve">the number of encounters for each dataset were analyzed. </w:t>
      </w:r>
      <w:r w:rsidR="3B41F55A">
        <w:t>Dataset A included</w:t>
      </w:r>
      <w:r w:rsidR="00FC4EE1">
        <w:t xml:space="preserve"> 2,196,714 encounters</w:t>
      </w:r>
      <w:r w:rsidR="0577651E">
        <w:t>; Da</w:t>
      </w:r>
      <w:r w:rsidR="00FC4EE1">
        <w:t>t</w:t>
      </w:r>
      <w:r w:rsidR="0577651E">
        <w:t>aset</w:t>
      </w:r>
      <w:r w:rsidR="00FC4EE1">
        <w:t xml:space="preserve"> B </w:t>
      </w:r>
      <w:r w:rsidR="61C290B8">
        <w:t xml:space="preserve">included </w:t>
      </w:r>
      <w:r w:rsidR="00FC4EE1">
        <w:t>832,056 encounters</w:t>
      </w:r>
      <w:r w:rsidR="283C34ED">
        <w:t>; and Dataset C included</w:t>
      </w:r>
      <w:r w:rsidR="00B512AF">
        <w:t xml:space="preserve"> 390,500 encounters</w:t>
      </w:r>
      <w:r w:rsidR="78E79E5C">
        <w:t xml:space="preserve">. The total number of encounters </w:t>
      </w:r>
      <w:r w:rsidR="001B5EB4">
        <w:t>included in testing</w:t>
      </w:r>
      <w:r w:rsidR="20AF9FB5">
        <w:t xml:space="preserve"> is 3,419,270.</w:t>
      </w:r>
      <w:r w:rsidR="001B5EB4">
        <w:t xml:space="preserve"> </w:t>
      </w:r>
    </w:p>
    <w:p w14:paraId="06EBCCA3" w14:textId="2FFB8BE8" w:rsidR="00513C4A" w:rsidRDefault="00300F1C" w:rsidP="00D273FE">
      <w:pPr>
        <w:pStyle w:val="Heading5"/>
      </w:pPr>
      <w:r>
        <w:t>4.3.5</w:t>
      </w:r>
      <w:r>
        <w:tab/>
      </w:r>
      <w:r w:rsidR="00513C4A">
        <w:t xml:space="preserve">Sample Differences, if applicable </w:t>
      </w:r>
    </w:p>
    <w:p w14:paraId="7CB24AFA" w14:textId="0DF71483" w:rsidR="3B5236D0" w:rsidRDefault="3B5236D0" w:rsidP="4BBDBE69">
      <w:pPr>
        <w:pStyle w:val="BlueprintText"/>
      </w:pPr>
      <w:r>
        <w:t>Not applicable.</w:t>
      </w:r>
    </w:p>
    <w:p w14:paraId="32121042" w14:textId="479A953B" w:rsidR="00513C4A" w:rsidRDefault="00300F1C" w:rsidP="00D273FE">
      <w:pPr>
        <w:pStyle w:val="Heading5"/>
      </w:pPr>
      <w:r>
        <w:t>4.3.6</w:t>
      </w:r>
      <w:r>
        <w:tab/>
      </w:r>
      <w:r w:rsidR="00513C4A">
        <w:t xml:space="preserve">What Were the Social </w:t>
      </w:r>
      <w:r w:rsidR="00303507">
        <w:t xml:space="preserve">and Functional </w:t>
      </w:r>
      <w:r w:rsidR="00513C4A">
        <w:t xml:space="preserve">Risk Factors </w:t>
      </w:r>
      <w:r w:rsidR="00017F9F">
        <w:t>T</w:t>
      </w:r>
      <w:r w:rsidR="00513C4A">
        <w:t xml:space="preserve">hat Were Available and Analyzed? </w:t>
      </w:r>
    </w:p>
    <w:p w14:paraId="5101DE6E" w14:textId="02565706" w:rsidR="00BC2B5A" w:rsidRPr="00BC2B5A" w:rsidRDefault="35D4E5A9" w:rsidP="00BC2B5A">
      <w:pPr>
        <w:pStyle w:val="BlueprintText"/>
      </w:pPr>
      <w:r>
        <w:t xml:space="preserve">One analysis was performed using Dataset A, combined years of data (2022-2023) to examine the relationship between payer and the measure outcome. </w:t>
      </w:r>
      <w:hyperlink w:anchor="table1" w:history="1">
        <w:r w:rsidR="007167F6" w:rsidRPr="006D5B8F">
          <w:rPr>
            <w:rStyle w:val="Hyperlink"/>
          </w:rPr>
          <w:t>Table 1</w:t>
        </w:r>
      </w:hyperlink>
      <w:r w:rsidR="007167F6">
        <w:t xml:space="preserve"> shows there</w:t>
      </w:r>
      <w:r>
        <w:t xml:space="preserve"> was no significant correlation</w:t>
      </w:r>
      <w:r w:rsidR="181B892A">
        <w:t xml:space="preserve"> found between the proportion </w:t>
      </w:r>
      <w:r w:rsidR="00EA7012">
        <w:t xml:space="preserve">of </w:t>
      </w:r>
      <w:r w:rsidR="181B892A">
        <w:t xml:space="preserve">patients within any of the payer status categories and measure scores, however literature shows that higher income is associated with longer ED LOS and that more complex patients also have longer ED LOS. There were limitations in the ability to perform additional analyses due to missing </w:t>
      </w:r>
      <w:r w:rsidR="1AFDE679">
        <w:t>race/ethnicity, and language data from Datasets A and B.</w:t>
      </w:r>
      <w:r w:rsidR="00BC2B5A">
        <w:br w:type="page"/>
      </w:r>
    </w:p>
    <w:p w14:paraId="57670A5D" w14:textId="68279166" w:rsidR="00CE4ED5" w:rsidRDefault="00CE4ED5" w:rsidP="006D5B8F">
      <w:pPr>
        <w:pStyle w:val="Caption"/>
      </w:pPr>
      <w:bookmarkStart w:id="24" w:name="table1"/>
      <w:bookmarkEnd w:id="24"/>
      <w:r>
        <w:lastRenderedPageBreak/>
        <w:t>Table 1</w:t>
      </w:r>
      <w:r w:rsidR="00D7770B">
        <w:t xml:space="preserve">. </w:t>
      </w:r>
      <w:r w:rsidR="007167F6">
        <w:t>Correlation between Payer and Measure Performance Score, Dataset A (2022-2023)</w:t>
      </w:r>
    </w:p>
    <w:tbl>
      <w:tblPr>
        <w:tblW w:w="0" w:type="auto"/>
        <w:tblLayout w:type="fixed"/>
        <w:tblLook w:val="04A0" w:firstRow="1" w:lastRow="0" w:firstColumn="1" w:lastColumn="0" w:noHBand="0" w:noVBand="1"/>
      </w:tblPr>
      <w:tblGrid>
        <w:gridCol w:w="2560"/>
        <w:gridCol w:w="2060"/>
        <w:gridCol w:w="1600"/>
      </w:tblGrid>
      <w:tr w:rsidR="1B174BA5" w14:paraId="1C077D32" w14:textId="77777777" w:rsidTr="1B174BA5">
        <w:trPr>
          <w:trHeight w:val="450"/>
        </w:trPr>
        <w:tc>
          <w:tcPr>
            <w:tcW w:w="256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47344003" w14:textId="7C03D5E8" w:rsidR="1B174BA5" w:rsidRDefault="1B174BA5" w:rsidP="1B174BA5">
            <w:pPr>
              <w:spacing w:after="0"/>
            </w:pPr>
            <w:r w:rsidRPr="1B174BA5">
              <w:rPr>
                <w:rFonts w:ascii="Calibri" w:eastAsia="Calibri" w:hAnsi="Calibri" w:cs="Calibri"/>
                <w:color w:val="000000" w:themeColor="text1"/>
              </w:rPr>
              <w:t>Population</w:t>
            </w:r>
          </w:p>
        </w:tc>
        <w:tc>
          <w:tcPr>
            <w:tcW w:w="206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3B0C0C41" w14:textId="4F774609" w:rsidR="1B174BA5" w:rsidRDefault="1B174BA5" w:rsidP="1B174BA5">
            <w:pPr>
              <w:spacing w:after="0"/>
              <w:rPr>
                <w:rFonts w:ascii="Calibri" w:eastAsia="Calibri" w:hAnsi="Calibri" w:cs="Calibri"/>
                <w:color w:val="000000" w:themeColor="text1"/>
              </w:rPr>
            </w:pPr>
            <w:r w:rsidRPr="1B174BA5">
              <w:rPr>
                <w:rFonts w:ascii="Calibri" w:eastAsia="Calibri" w:hAnsi="Calibri" w:cs="Calibri"/>
                <w:color w:val="000000" w:themeColor="text1"/>
              </w:rPr>
              <w:t>Pearson's r</w:t>
            </w:r>
            <w:r w:rsidR="46486745" w:rsidRPr="1B174BA5">
              <w:rPr>
                <w:rFonts w:ascii="Calibri" w:eastAsia="Calibri" w:hAnsi="Calibri" w:cs="Calibri"/>
                <w:color w:val="000000" w:themeColor="text1"/>
              </w:rPr>
              <w:t xml:space="preserve"> correlation</w:t>
            </w:r>
          </w:p>
        </w:tc>
        <w:tc>
          <w:tcPr>
            <w:tcW w:w="160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108" w:type="dxa"/>
              <w:right w:w="108" w:type="dxa"/>
            </w:tcMar>
            <w:vAlign w:val="center"/>
          </w:tcPr>
          <w:p w14:paraId="6D855CF4" w14:textId="401A8484" w:rsidR="1B174BA5" w:rsidRDefault="1B174BA5" w:rsidP="1B174BA5">
            <w:pPr>
              <w:spacing w:after="0"/>
            </w:pPr>
            <w:r w:rsidRPr="1B174BA5">
              <w:rPr>
                <w:rFonts w:ascii="Calibri" w:eastAsia="Calibri" w:hAnsi="Calibri" w:cs="Calibri"/>
                <w:color w:val="000000" w:themeColor="text1"/>
              </w:rPr>
              <w:t>p-value</w:t>
            </w:r>
          </w:p>
        </w:tc>
      </w:tr>
      <w:tr w:rsidR="1B174BA5" w14:paraId="37DD2752" w14:textId="77777777" w:rsidTr="1B174BA5">
        <w:trPr>
          <w:trHeight w:val="675"/>
        </w:trPr>
        <w:tc>
          <w:tcPr>
            <w:tcW w:w="256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B9BC2E4" w14:textId="5C84A5CA" w:rsidR="1B174BA5" w:rsidRDefault="1B174BA5" w:rsidP="1B174BA5">
            <w:pPr>
              <w:spacing w:after="0"/>
            </w:pPr>
            <w:r w:rsidRPr="1B174BA5">
              <w:rPr>
                <w:rFonts w:ascii="Calibri" w:eastAsia="Calibri" w:hAnsi="Calibri" w:cs="Calibri"/>
              </w:rPr>
              <w:t>Proportion of patients with Medicaid</w:t>
            </w:r>
          </w:p>
        </w:tc>
        <w:tc>
          <w:tcPr>
            <w:tcW w:w="206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9EDCE36" w14:textId="0F274007" w:rsidR="1B174BA5" w:rsidRDefault="1B174BA5" w:rsidP="1B174BA5">
            <w:pPr>
              <w:spacing w:after="0"/>
              <w:jc w:val="right"/>
            </w:pPr>
            <w:r w:rsidRPr="1B174BA5">
              <w:rPr>
                <w:rFonts w:ascii="Calibri" w:eastAsia="Calibri" w:hAnsi="Calibri" w:cs="Calibri"/>
              </w:rPr>
              <w:t>-0.029</w:t>
            </w:r>
          </w:p>
        </w:tc>
        <w:tc>
          <w:tcPr>
            <w:tcW w:w="160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4A92722" w14:textId="53170570" w:rsidR="1B174BA5" w:rsidRDefault="1B174BA5" w:rsidP="1B174BA5">
            <w:pPr>
              <w:spacing w:after="0"/>
              <w:jc w:val="right"/>
            </w:pPr>
            <w:r w:rsidRPr="1B174BA5">
              <w:rPr>
                <w:rFonts w:ascii="Calibri" w:eastAsia="Calibri" w:hAnsi="Calibri" w:cs="Calibri"/>
              </w:rPr>
              <w:t>0.904</w:t>
            </w:r>
          </w:p>
        </w:tc>
      </w:tr>
      <w:tr w:rsidR="1B174BA5" w14:paraId="5B08F7E1" w14:textId="77777777" w:rsidTr="1B174BA5">
        <w:trPr>
          <w:trHeight w:val="645"/>
        </w:trPr>
        <w:tc>
          <w:tcPr>
            <w:tcW w:w="256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082CC59" w14:textId="7B52763E" w:rsidR="1B174BA5" w:rsidRDefault="1B174BA5" w:rsidP="1B174BA5">
            <w:pPr>
              <w:spacing w:after="0"/>
            </w:pPr>
            <w:r w:rsidRPr="1B174BA5">
              <w:rPr>
                <w:rFonts w:ascii="Calibri" w:eastAsia="Calibri" w:hAnsi="Calibri" w:cs="Calibri"/>
              </w:rPr>
              <w:t>Proportion of patients with Private/Other</w:t>
            </w:r>
          </w:p>
        </w:tc>
        <w:tc>
          <w:tcPr>
            <w:tcW w:w="206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828ACF7" w14:textId="3BC67A16" w:rsidR="1B174BA5" w:rsidRDefault="1B174BA5" w:rsidP="1B174BA5">
            <w:pPr>
              <w:spacing w:after="0"/>
              <w:jc w:val="right"/>
            </w:pPr>
            <w:r w:rsidRPr="1B174BA5">
              <w:rPr>
                <w:rFonts w:ascii="Calibri" w:eastAsia="Calibri" w:hAnsi="Calibri" w:cs="Calibri"/>
              </w:rPr>
              <w:t>0.135</w:t>
            </w:r>
          </w:p>
        </w:tc>
        <w:tc>
          <w:tcPr>
            <w:tcW w:w="160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F31DF17" w14:textId="703D45C4" w:rsidR="1B174BA5" w:rsidRDefault="1B174BA5" w:rsidP="1B174BA5">
            <w:pPr>
              <w:spacing w:after="0"/>
              <w:jc w:val="right"/>
            </w:pPr>
            <w:r w:rsidRPr="1B174BA5">
              <w:rPr>
                <w:rFonts w:ascii="Calibri" w:eastAsia="Calibri" w:hAnsi="Calibri" w:cs="Calibri"/>
              </w:rPr>
              <w:t>0.571</w:t>
            </w:r>
          </w:p>
        </w:tc>
      </w:tr>
      <w:tr w:rsidR="1B174BA5" w14:paraId="4E89F945" w14:textId="77777777" w:rsidTr="1B174BA5">
        <w:trPr>
          <w:trHeight w:val="705"/>
        </w:trPr>
        <w:tc>
          <w:tcPr>
            <w:tcW w:w="256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FE006F9" w14:textId="7FDBFDD6" w:rsidR="1B174BA5" w:rsidRDefault="1B174BA5" w:rsidP="1B174BA5">
            <w:pPr>
              <w:spacing w:after="0"/>
            </w:pPr>
            <w:r w:rsidRPr="1B174BA5">
              <w:rPr>
                <w:rFonts w:ascii="Calibri" w:eastAsia="Calibri" w:hAnsi="Calibri" w:cs="Calibri"/>
              </w:rPr>
              <w:t>Proportion of patients with Medicare</w:t>
            </w:r>
          </w:p>
        </w:tc>
        <w:tc>
          <w:tcPr>
            <w:tcW w:w="206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7AA347E" w14:textId="5CB4D8DD" w:rsidR="1B174BA5" w:rsidRDefault="1B174BA5" w:rsidP="1B174BA5">
            <w:pPr>
              <w:spacing w:after="0"/>
              <w:jc w:val="right"/>
            </w:pPr>
            <w:r w:rsidRPr="1B174BA5">
              <w:rPr>
                <w:rFonts w:ascii="Calibri" w:eastAsia="Calibri" w:hAnsi="Calibri" w:cs="Calibri"/>
              </w:rPr>
              <w:t>-0.139</w:t>
            </w:r>
          </w:p>
        </w:tc>
        <w:tc>
          <w:tcPr>
            <w:tcW w:w="160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1D7C505" w14:textId="18C34D59" w:rsidR="1B174BA5" w:rsidRDefault="1B174BA5" w:rsidP="1B174BA5">
            <w:pPr>
              <w:spacing w:after="0"/>
              <w:jc w:val="right"/>
            </w:pPr>
            <w:r w:rsidRPr="1B174BA5">
              <w:rPr>
                <w:rFonts w:ascii="Calibri" w:eastAsia="Calibri" w:hAnsi="Calibri" w:cs="Calibri"/>
              </w:rPr>
              <w:t>0.559</w:t>
            </w:r>
          </w:p>
        </w:tc>
      </w:tr>
    </w:tbl>
    <w:p w14:paraId="2CF400E1" w14:textId="79B00979" w:rsidR="1B174BA5" w:rsidRDefault="1B174BA5" w:rsidP="1B174BA5">
      <w:pPr>
        <w:pStyle w:val="BlueprintText"/>
      </w:pPr>
    </w:p>
    <w:p w14:paraId="64F58B64" w14:textId="4D6D4363" w:rsidR="002C1B51" w:rsidRDefault="00300F1C" w:rsidP="00D273FE">
      <w:pPr>
        <w:pStyle w:val="Heading4"/>
      </w:pPr>
      <w:r>
        <w:t>4.4</w:t>
      </w:r>
      <w:r w:rsidR="002C1B51">
        <w:tab/>
      </w:r>
      <w:r w:rsidR="002C1B51" w:rsidRPr="00D273FE">
        <w:t>Reliability Testing</w:t>
      </w:r>
      <w:r w:rsidR="002C1B51">
        <w:t xml:space="preserve"> </w:t>
      </w:r>
      <w:r w:rsidR="002C1B51" w:rsidRPr="004C711D">
        <w:t>(for reference only)</w:t>
      </w:r>
      <w:r w:rsidR="002C1B51">
        <w:t xml:space="preserve"> </w:t>
      </w:r>
    </w:p>
    <w:p w14:paraId="0EBB715F" w14:textId="70579AE7" w:rsidR="002C1B51" w:rsidRDefault="00300F1C" w:rsidP="00D273FE">
      <w:pPr>
        <w:pStyle w:val="Heading5"/>
      </w:pPr>
      <w:r>
        <w:t>4.4.1</w:t>
      </w:r>
      <w:r w:rsidR="002C1B51">
        <w:tab/>
        <w:t xml:space="preserve">Level of Reliability Testing </w:t>
      </w:r>
    </w:p>
    <w:bookmarkStart w:id="25" w:name="_Hlk140573302"/>
    <w:p w14:paraId="3561CF58" w14:textId="50910E64" w:rsidR="002C1B51" w:rsidRPr="001A577B" w:rsidRDefault="00D95B04" w:rsidP="00A4036D">
      <w:pPr>
        <w:pStyle w:val="ListBullet"/>
        <w:numPr>
          <w:ilvl w:val="0"/>
          <w:numId w:val="0"/>
        </w:numPr>
        <w:ind w:left="360"/>
        <w:rPr>
          <w:b/>
          <w:bCs/>
        </w:rPr>
      </w:pPr>
      <w:sdt>
        <w:sdtPr>
          <w:rPr>
            <w:rFonts w:ascii="Segoe UI Symbol" w:hAnsi="Segoe UI Symbol" w:cs="Segoe UI Symbol"/>
            <w:b/>
            <w:bCs/>
          </w:rPr>
          <w:id w:val="1735046176"/>
          <w14:checkbox>
            <w14:checked w14:val="1"/>
            <w14:checkedState w14:val="2612" w14:font="MS Gothic"/>
            <w14:uncheckedState w14:val="2610" w14:font="MS Gothic"/>
          </w14:checkbox>
        </w:sdtPr>
        <w:sdtEndPr/>
        <w:sdtContent>
          <w:r w:rsidR="001A577B" w:rsidRPr="001A577B">
            <w:rPr>
              <w:rFonts w:ascii="MS Gothic" w:eastAsia="MS Gothic" w:hAnsi="MS Gothic" w:cs="Segoe UI Symbol" w:hint="eastAsia"/>
              <w:b/>
              <w:bCs/>
            </w:rPr>
            <w:t>☒</w:t>
          </w:r>
        </w:sdtContent>
      </w:sdt>
      <w:r w:rsidR="001A577B" w:rsidRPr="001A577B">
        <w:rPr>
          <w:b/>
          <w:bCs/>
        </w:rPr>
        <w:t xml:space="preserve"> </w:t>
      </w:r>
      <w:r w:rsidR="001B71C6" w:rsidRPr="001A577B">
        <w:rPr>
          <w:b/>
          <w:bCs/>
        </w:rPr>
        <w:t>patient/encounter level (</w:t>
      </w:r>
      <w:r w:rsidR="002C1B51" w:rsidRPr="001A577B">
        <w:rPr>
          <w:b/>
          <w:bCs/>
        </w:rPr>
        <w:t>data element</w:t>
      </w:r>
      <w:r w:rsidR="001B71C6" w:rsidRPr="001A577B">
        <w:rPr>
          <w:b/>
          <w:bCs/>
        </w:rPr>
        <w:t xml:space="preserve"> level)</w:t>
      </w:r>
      <w:r w:rsidR="002C1B51" w:rsidRPr="001A577B">
        <w:rPr>
          <w:b/>
          <w:bCs/>
        </w:rPr>
        <w:t xml:space="preserve"> </w:t>
      </w:r>
      <w:r w:rsidR="00CB7675" w:rsidRPr="001A577B">
        <w:rPr>
          <w:b/>
          <w:bCs/>
        </w:rPr>
        <w:t>(e.g., inter-abstractor reliability)</w:t>
      </w:r>
    </w:p>
    <w:p w14:paraId="045C2715" w14:textId="5F9C9FC9" w:rsidR="002C1B51" w:rsidRPr="001A577B" w:rsidRDefault="00D95B04" w:rsidP="00A4036D">
      <w:pPr>
        <w:pStyle w:val="ListBullet"/>
        <w:numPr>
          <w:ilvl w:val="0"/>
          <w:numId w:val="0"/>
        </w:numPr>
        <w:ind w:left="360"/>
        <w:rPr>
          <w:b/>
          <w:bCs/>
        </w:rPr>
      </w:pPr>
      <w:sdt>
        <w:sdtPr>
          <w:rPr>
            <w:rFonts w:ascii="Segoe UI Symbol" w:hAnsi="Segoe UI Symbol" w:cs="Segoe UI Symbol"/>
            <w:b/>
            <w:bCs/>
          </w:rPr>
          <w:id w:val="1952209117"/>
          <w14:checkbox>
            <w14:checked w14:val="1"/>
            <w14:checkedState w14:val="2612" w14:font="MS Gothic"/>
            <w14:uncheckedState w14:val="2610" w14:font="MS Gothic"/>
          </w14:checkbox>
        </w:sdtPr>
        <w:sdtEndPr/>
        <w:sdtContent>
          <w:r w:rsidR="001A577B" w:rsidRPr="001A577B">
            <w:rPr>
              <w:rFonts w:ascii="MS Gothic" w:eastAsia="MS Gothic" w:hAnsi="MS Gothic" w:cs="Segoe UI Symbol" w:hint="eastAsia"/>
              <w:b/>
              <w:bCs/>
            </w:rPr>
            <w:t>☒</w:t>
          </w:r>
        </w:sdtContent>
      </w:sdt>
      <w:r w:rsidR="001A577B" w:rsidRPr="001A577B">
        <w:rPr>
          <w:b/>
          <w:bCs/>
        </w:rPr>
        <w:t xml:space="preserve"> </w:t>
      </w:r>
      <w:r w:rsidR="001B71C6" w:rsidRPr="001A577B">
        <w:rPr>
          <w:b/>
          <w:bCs/>
        </w:rPr>
        <w:t>accountable entity level</w:t>
      </w:r>
      <w:r w:rsidR="002C1B51" w:rsidRPr="001A577B">
        <w:rPr>
          <w:b/>
          <w:bCs/>
        </w:rPr>
        <w:t xml:space="preserve"> </w:t>
      </w:r>
      <w:r w:rsidR="001B71C6" w:rsidRPr="001A577B">
        <w:rPr>
          <w:b/>
          <w:bCs/>
        </w:rPr>
        <w:t>(</w:t>
      </w:r>
      <w:r w:rsidR="002C1B51" w:rsidRPr="001A577B">
        <w:rPr>
          <w:b/>
          <w:bCs/>
        </w:rPr>
        <w:t xml:space="preserve">measure score </w:t>
      </w:r>
      <w:r w:rsidR="001B71C6" w:rsidRPr="001A577B">
        <w:rPr>
          <w:b/>
          <w:bCs/>
        </w:rPr>
        <w:t xml:space="preserve">level) </w:t>
      </w:r>
      <w:r w:rsidR="002C1B51" w:rsidRPr="001A577B">
        <w:rPr>
          <w:b/>
          <w:bCs/>
        </w:rPr>
        <w:t>(e.g., signal-to-noise analysis)</w:t>
      </w:r>
    </w:p>
    <w:bookmarkEnd w:id="25"/>
    <w:p w14:paraId="5E540860" w14:textId="4765E60C" w:rsidR="002C1B51" w:rsidRDefault="00300F1C" w:rsidP="00B52BA6">
      <w:pPr>
        <w:pStyle w:val="Heading5"/>
      </w:pPr>
      <w:r>
        <w:t>4.4</w:t>
      </w:r>
      <w:r w:rsidR="002C1B51">
        <w:t>.2</w:t>
      </w:r>
      <w:r>
        <w:tab/>
      </w:r>
      <w:r w:rsidR="002C1B51">
        <w:t xml:space="preserve">Method of Reliability Testing </w:t>
      </w:r>
    </w:p>
    <w:p w14:paraId="4D6CAF08" w14:textId="6F2027F7" w:rsidR="004649EE" w:rsidRDefault="004649EE" w:rsidP="005D3DE1">
      <w:pPr>
        <w:pStyle w:val="Heading5"/>
      </w:pPr>
      <w:r w:rsidRPr="00B62EAB">
        <w:t>For measure score reliability, we</w:t>
      </w:r>
      <w:r w:rsidRPr="004649EE">
        <w:t xml:space="preserve"> calculated signal-to-noise reliability scores for EDs, using a beta binomial model.</w:t>
      </w:r>
      <w:r w:rsidR="00013DB0">
        <w:rPr>
          <w:vertAlign w:val="superscript"/>
        </w:rPr>
        <w:t xml:space="preserve"> </w:t>
      </w:r>
      <w:r w:rsidRPr="004649EE">
        <w:t>The signal is the proportion of the variability in measured performance that can be explained by real differences in performance.</w:t>
      </w:r>
      <w:r w:rsidR="00013DB0">
        <w:rPr>
          <w:vertAlign w:val="superscript"/>
        </w:rPr>
        <w:t xml:space="preserve"> </w:t>
      </w:r>
      <w:r w:rsidRPr="004649EE">
        <w:t>Scores can range from zero to one. A reliability of zero implies that all the variability in a measure is attributable to measurement error. A reliability of one implies that all the variability is attributable to real difference in performance. The CBE recommends a minimum 0.6 signal-to-noise reliability statistic for endorsement of a quality measure.</w:t>
      </w:r>
    </w:p>
    <w:p w14:paraId="11A648D8" w14:textId="121BBEA0" w:rsidR="002C1B51" w:rsidRPr="004C711D" w:rsidRDefault="00300F1C" w:rsidP="00B52BA6">
      <w:pPr>
        <w:pStyle w:val="Heading5"/>
      </w:pPr>
      <w:r>
        <w:t>4.4</w:t>
      </w:r>
      <w:r w:rsidR="002C1B51">
        <w:t>.3</w:t>
      </w:r>
      <w:r>
        <w:tab/>
      </w:r>
      <w:r w:rsidR="002C1B51">
        <w:t xml:space="preserve">Statistical Results from Reliability Testing </w:t>
      </w:r>
    </w:p>
    <w:p w14:paraId="73C2CCEA" w14:textId="2933DF34" w:rsidR="00013DB0" w:rsidRDefault="00013DB0" w:rsidP="005D3DE1">
      <w:pPr>
        <w:pStyle w:val="BlueprintText"/>
      </w:pPr>
      <w:r>
        <w:t>The mean signal</w:t>
      </w:r>
      <w:r w:rsidR="00B62EAB">
        <w:t xml:space="preserve"> to noise reliability for Dataset A 2023 and Dataset B 2023 combined (N=32 facilities) </w:t>
      </w:r>
      <w:r>
        <w:t>is 0.999</w:t>
      </w:r>
      <w:r w:rsidR="47501C1F">
        <w:t>9</w:t>
      </w:r>
      <w:r>
        <w:t>.</w:t>
      </w:r>
      <w:r w:rsidR="00B62EAB">
        <w:t xml:space="preserve"> The range was </w:t>
      </w:r>
      <w:r w:rsidR="5E522DF1">
        <w:t>0</w:t>
      </w:r>
      <w:r w:rsidR="00B62EAB">
        <w:t xml:space="preserve">.9997 to 1.0000. </w:t>
      </w:r>
    </w:p>
    <w:p w14:paraId="034279C7" w14:textId="261E4ED3" w:rsidR="002C1B51" w:rsidRDefault="00300F1C" w:rsidP="00013DB0">
      <w:pPr>
        <w:pStyle w:val="BlueprintText"/>
      </w:pPr>
      <w:r>
        <w:t>4.4</w:t>
      </w:r>
      <w:r w:rsidR="002C1B51">
        <w:t>.4</w:t>
      </w:r>
      <w:r>
        <w:tab/>
      </w:r>
      <w:r w:rsidR="002C1B51">
        <w:t xml:space="preserve">Interpretation </w:t>
      </w:r>
    </w:p>
    <w:p w14:paraId="43F5F647" w14:textId="77777777" w:rsidR="00013DB0" w:rsidRDefault="00013DB0" w:rsidP="005D3DE1">
      <w:pPr>
        <w:pStyle w:val="Heading4"/>
      </w:pPr>
      <w:r>
        <w:t xml:space="preserve">This signal to noise reliability </w:t>
      </w:r>
      <w:r w:rsidRPr="00013DB0">
        <w:t>is very high. The “noise” in the measure is very small, because this is a proportion measure capturing a census, not a sample, of encounters; the high reliability is both a function of the size of the measure (# of encounters) and the measure structure being a true score of the encounters in the numerator. The measure is not predicting the outcome, it’s accurately representing the outcome. Therefore, the wide range in measure scores are due to differences in provider quality.  </w:t>
      </w:r>
    </w:p>
    <w:p w14:paraId="427D658D" w14:textId="4AF213FF" w:rsidR="002C1B51" w:rsidRDefault="00013DB0" w:rsidP="00B52BA6">
      <w:pPr>
        <w:pStyle w:val="Heading4"/>
      </w:pPr>
      <w:r w:rsidRPr="00013DB0">
        <w:t xml:space="preserve"> </w:t>
      </w:r>
      <w:r w:rsidR="00300F1C">
        <w:t>4.5</w:t>
      </w:r>
      <w:r w:rsidR="002C1B51">
        <w:tab/>
      </w:r>
      <w:r w:rsidR="002C1B51" w:rsidRPr="00D273FE">
        <w:t>Validity Testing</w:t>
      </w:r>
      <w:r w:rsidR="009E2A03" w:rsidRPr="004C711D">
        <w:t xml:space="preserve"> </w:t>
      </w:r>
      <w:r w:rsidR="002C1B51" w:rsidRPr="004C711D">
        <w:t>(for reference only)</w:t>
      </w:r>
      <w:r w:rsidR="003F5D5E" w:rsidRPr="009673C3">
        <w:t xml:space="preserve"> </w:t>
      </w:r>
    </w:p>
    <w:p w14:paraId="3DA22E74" w14:textId="7965E65F" w:rsidR="002C1B51" w:rsidRDefault="00300F1C" w:rsidP="00B52BA6">
      <w:pPr>
        <w:pStyle w:val="Heading5"/>
      </w:pPr>
      <w:r>
        <w:t>4.5</w:t>
      </w:r>
      <w:r w:rsidR="002C1B51">
        <w:t>.1</w:t>
      </w:r>
      <w:r w:rsidR="002C1B51">
        <w:tab/>
        <w:t xml:space="preserve">Level of Validity Testing </w:t>
      </w:r>
    </w:p>
    <w:bookmarkStart w:id="26" w:name="_Hlk140573372"/>
    <w:p w14:paraId="62FFCA14" w14:textId="0058E786" w:rsidR="002C1B51" w:rsidRPr="00B62EAB" w:rsidRDefault="00D95B04" w:rsidP="00A4036D">
      <w:pPr>
        <w:pStyle w:val="ListBullet"/>
        <w:numPr>
          <w:ilvl w:val="0"/>
          <w:numId w:val="0"/>
        </w:numPr>
        <w:ind w:left="360"/>
        <w:rPr>
          <w:b/>
          <w:bCs/>
        </w:rPr>
      </w:pPr>
      <w:sdt>
        <w:sdtPr>
          <w:rPr>
            <w:rFonts w:ascii="Segoe UI Symbol" w:hAnsi="Segoe UI Symbol" w:cs="Segoe UI Symbol"/>
            <w:b/>
            <w:bCs/>
          </w:rPr>
          <w:id w:val="124438901"/>
          <w14:checkbox>
            <w14:checked w14:val="1"/>
            <w14:checkedState w14:val="2612" w14:font="MS Gothic"/>
            <w14:uncheckedState w14:val="2610" w14:font="MS Gothic"/>
          </w14:checkbox>
        </w:sdtPr>
        <w:sdtEndPr/>
        <w:sdtContent>
          <w:r w:rsidR="00B62EAB" w:rsidRPr="00B62EAB">
            <w:rPr>
              <w:rFonts w:ascii="MS Gothic" w:eastAsia="MS Gothic" w:hAnsi="MS Gothic" w:cs="Segoe UI Symbol" w:hint="eastAsia"/>
              <w:b/>
              <w:bCs/>
            </w:rPr>
            <w:t>☒</w:t>
          </w:r>
        </w:sdtContent>
      </w:sdt>
      <w:r w:rsidR="00B62EAB" w:rsidRPr="00B62EAB">
        <w:rPr>
          <w:b/>
          <w:bCs/>
        </w:rPr>
        <w:t xml:space="preserve"> </w:t>
      </w:r>
      <w:r w:rsidR="001B71C6" w:rsidRPr="00B62EAB">
        <w:rPr>
          <w:b/>
          <w:bCs/>
        </w:rPr>
        <w:t>patient/encounter level (data element level)</w:t>
      </w:r>
    </w:p>
    <w:p w14:paraId="341A4312" w14:textId="3438F943" w:rsidR="00877D49" w:rsidRPr="00B62EAB" w:rsidRDefault="00D95B04" w:rsidP="00D273FE">
      <w:pPr>
        <w:pStyle w:val="ListBullet"/>
        <w:numPr>
          <w:ilvl w:val="0"/>
          <w:numId w:val="0"/>
        </w:numPr>
        <w:spacing w:after="0"/>
        <w:ind w:left="360"/>
        <w:rPr>
          <w:b/>
          <w:bCs/>
        </w:rPr>
      </w:pPr>
      <w:sdt>
        <w:sdtPr>
          <w:rPr>
            <w:rFonts w:ascii="Segoe UI Symbol" w:hAnsi="Segoe UI Symbol" w:cs="Segoe UI Symbol"/>
            <w:b/>
            <w:bCs/>
          </w:rPr>
          <w:id w:val="747314276"/>
          <w14:checkbox>
            <w14:checked w14:val="1"/>
            <w14:checkedState w14:val="2612" w14:font="MS Gothic"/>
            <w14:uncheckedState w14:val="2610" w14:font="MS Gothic"/>
          </w14:checkbox>
        </w:sdtPr>
        <w:sdtEndPr/>
        <w:sdtContent>
          <w:r w:rsidR="00B62EAB" w:rsidRPr="00B62EAB">
            <w:rPr>
              <w:rFonts w:ascii="MS Gothic" w:eastAsia="MS Gothic" w:hAnsi="MS Gothic" w:cs="Segoe UI Symbol" w:hint="eastAsia"/>
              <w:b/>
              <w:bCs/>
            </w:rPr>
            <w:t>☒</w:t>
          </w:r>
        </w:sdtContent>
      </w:sdt>
      <w:r w:rsidR="00B62EAB" w:rsidRPr="00B62EAB">
        <w:rPr>
          <w:b/>
          <w:bCs/>
        </w:rPr>
        <w:t xml:space="preserve"> </w:t>
      </w:r>
      <w:r w:rsidR="001B71C6" w:rsidRPr="00B62EAB">
        <w:rPr>
          <w:b/>
          <w:bCs/>
        </w:rPr>
        <w:t>accountable entity level (measure score level)</w:t>
      </w:r>
    </w:p>
    <w:p w14:paraId="05DABC4E" w14:textId="62097930" w:rsidR="00CB7675" w:rsidRDefault="00300F1C" w:rsidP="00B52BA6">
      <w:pPr>
        <w:pStyle w:val="Heading5"/>
      </w:pPr>
      <w:r>
        <w:t>4.5</w:t>
      </w:r>
      <w:r w:rsidR="00CB7675">
        <w:t>.2 Type of validity testing</w:t>
      </w:r>
    </w:p>
    <w:p w14:paraId="1F65C8E6" w14:textId="0D54971E" w:rsidR="0035653A" w:rsidRPr="008C2184" w:rsidRDefault="00D95B04" w:rsidP="00A4036D">
      <w:pPr>
        <w:pStyle w:val="ListBullet"/>
        <w:numPr>
          <w:ilvl w:val="0"/>
          <w:numId w:val="0"/>
        </w:numPr>
        <w:ind w:left="360"/>
        <w:rPr>
          <w:b/>
          <w:bCs/>
        </w:rPr>
      </w:pPr>
      <w:sdt>
        <w:sdtPr>
          <w:rPr>
            <w:rFonts w:ascii="Segoe UI Symbol" w:hAnsi="Segoe UI Symbol" w:cs="Segoe UI Symbol"/>
            <w:b/>
            <w:bCs/>
          </w:rPr>
          <w:id w:val="1255781665"/>
          <w14:checkbox>
            <w14:checked w14:val="1"/>
            <w14:checkedState w14:val="2612" w14:font="MS Gothic"/>
            <w14:uncheckedState w14:val="2610" w14:font="MS Gothic"/>
          </w14:checkbox>
        </w:sdtPr>
        <w:sdtEndPr/>
        <w:sdtContent>
          <w:r w:rsidR="008C2184" w:rsidRPr="1B174BA5">
            <w:rPr>
              <w:rFonts w:ascii="MS Gothic" w:eastAsia="MS Gothic" w:hAnsi="MS Gothic" w:cs="Segoe UI Symbol"/>
              <w:b/>
              <w:bCs/>
            </w:rPr>
            <w:t>☒</w:t>
          </w:r>
        </w:sdtContent>
      </w:sdt>
      <w:r w:rsidR="008C2184" w:rsidRPr="1B174BA5">
        <w:rPr>
          <w:b/>
          <w:bCs/>
        </w:rPr>
        <w:t xml:space="preserve"> </w:t>
      </w:r>
      <w:r w:rsidR="0035653A" w:rsidRPr="1B174BA5">
        <w:rPr>
          <w:b/>
          <w:bCs/>
        </w:rPr>
        <w:t>empirical validity testing</w:t>
      </w:r>
    </w:p>
    <w:p w14:paraId="06D54F08" w14:textId="0E066807" w:rsidR="002C1B51" w:rsidRPr="008C2184" w:rsidRDefault="00D95B04" w:rsidP="004F3322">
      <w:pPr>
        <w:pStyle w:val="ListBullet"/>
        <w:numPr>
          <w:ilvl w:val="0"/>
          <w:numId w:val="0"/>
        </w:numPr>
        <w:spacing w:after="0"/>
        <w:ind w:left="360"/>
        <w:rPr>
          <w:b/>
          <w:bCs/>
        </w:rPr>
      </w:pPr>
      <w:sdt>
        <w:sdtPr>
          <w:rPr>
            <w:rFonts w:ascii="Segoe UI Symbol" w:hAnsi="Segoe UI Symbol" w:cs="Segoe UI Symbol"/>
            <w:b/>
            <w:bCs/>
          </w:rPr>
          <w:id w:val="708229086"/>
          <w14:checkbox>
            <w14:checked w14:val="1"/>
            <w14:checkedState w14:val="2612" w14:font="MS Gothic"/>
            <w14:uncheckedState w14:val="2610" w14:font="MS Gothic"/>
          </w14:checkbox>
        </w:sdtPr>
        <w:sdtEndPr/>
        <w:sdtContent>
          <w:r w:rsidR="008C2184" w:rsidRPr="008C2184">
            <w:rPr>
              <w:rFonts w:ascii="MS Gothic" w:eastAsia="MS Gothic" w:hAnsi="MS Gothic" w:cs="Segoe UI Symbol" w:hint="eastAsia"/>
              <w:b/>
              <w:bCs/>
            </w:rPr>
            <w:t>☒</w:t>
          </w:r>
        </w:sdtContent>
      </w:sdt>
      <w:r w:rsidR="008C2184" w:rsidRPr="008C2184">
        <w:rPr>
          <w:b/>
          <w:bCs/>
        </w:rPr>
        <w:t xml:space="preserve"> </w:t>
      </w:r>
      <w:r w:rsidR="002C1695" w:rsidRPr="008C2184">
        <w:rPr>
          <w:b/>
          <w:bCs/>
        </w:rPr>
        <w:t>s</w:t>
      </w:r>
      <w:r w:rsidR="002C1B51" w:rsidRPr="008C2184">
        <w:rPr>
          <w:b/>
          <w:bCs/>
        </w:rPr>
        <w:t xml:space="preserve">ystematic assessment of face validity of </w:t>
      </w:r>
      <w:r w:rsidR="0039021E" w:rsidRPr="008C2184">
        <w:rPr>
          <w:b/>
          <w:bCs/>
        </w:rPr>
        <w:t xml:space="preserve">quality </w:t>
      </w:r>
      <w:r w:rsidR="002C1B51" w:rsidRPr="008C2184">
        <w:rPr>
          <w:b/>
          <w:bCs/>
        </w:rPr>
        <w:t>measure score as an indicator of quality or resource use (i.e., is an accurate reflection of performance on quality or resource use and can distinguish good from poor performance)</w:t>
      </w:r>
    </w:p>
    <w:p w14:paraId="593637EB" w14:textId="77777777" w:rsidR="00112D5D" w:rsidRDefault="00112D5D" w:rsidP="004F3322">
      <w:pPr>
        <w:pStyle w:val="ListBullet"/>
        <w:numPr>
          <w:ilvl w:val="0"/>
          <w:numId w:val="0"/>
        </w:numPr>
        <w:spacing w:after="0"/>
        <w:ind w:left="360"/>
      </w:pPr>
    </w:p>
    <w:bookmarkEnd w:id="26"/>
    <w:p w14:paraId="0EE253F7" w14:textId="568B9D20" w:rsidR="00BB30D4" w:rsidRPr="005703D8" w:rsidRDefault="00300F1C" w:rsidP="005703D8">
      <w:pPr>
        <w:pStyle w:val="Heading5"/>
      </w:pPr>
      <w:r>
        <w:t>4.5</w:t>
      </w:r>
      <w:r w:rsidR="002C1B51">
        <w:t>.</w:t>
      </w:r>
      <w:r w:rsidR="00C42A61">
        <w:t>3</w:t>
      </w:r>
      <w:r>
        <w:tab/>
      </w:r>
      <w:r w:rsidR="002C1B51">
        <w:t>Method of Validity Testing</w:t>
      </w:r>
    </w:p>
    <w:p w14:paraId="48EAB6C4" w14:textId="303555D8" w:rsidR="31A70557" w:rsidRDefault="31A70557" w:rsidP="1B174BA5">
      <w:pPr>
        <w:spacing w:line="279" w:lineRule="auto"/>
        <w:rPr>
          <w:rFonts w:ascii="Calibri" w:eastAsia="Calibri" w:hAnsi="Calibri" w:cs="Calibri"/>
          <w:color w:val="000000" w:themeColor="text1"/>
        </w:rPr>
      </w:pPr>
      <w:r w:rsidRPr="1B174BA5">
        <w:rPr>
          <w:rFonts w:ascii="Calibri" w:eastAsia="Calibri" w:hAnsi="Calibri" w:cs="Calibri"/>
          <w:b/>
          <w:bCs/>
          <w:color w:val="000000" w:themeColor="text1"/>
        </w:rPr>
        <w:t xml:space="preserve">Face Validity: </w:t>
      </w:r>
      <w:r w:rsidRPr="1B174BA5">
        <w:rPr>
          <w:rFonts w:ascii="Calibri" w:eastAsia="Calibri" w:hAnsi="Calibri" w:cs="Calibri"/>
          <w:color w:val="000000" w:themeColor="text1"/>
        </w:rPr>
        <w:t xml:space="preserve">We systematically assessed the face validity of the measure score as an indicator of quality by soliciting the experts and patients/caregivers’ agreement with the following statement: “The Emergency Care Capacity and Quality eCQM could differentiate good from poor quality of care among facilities.” </w:t>
      </w:r>
    </w:p>
    <w:p w14:paraId="70EB3D32" w14:textId="30624F0D" w:rsidR="31A70557" w:rsidRDefault="31A70557" w:rsidP="1B174BA5">
      <w:pPr>
        <w:spacing w:line="279" w:lineRule="auto"/>
        <w:ind w:left="-14"/>
        <w:rPr>
          <w:rFonts w:ascii="Calibri" w:eastAsia="Calibri" w:hAnsi="Calibri" w:cs="Calibri"/>
          <w:i/>
          <w:iCs/>
          <w:color w:val="000000" w:themeColor="text1"/>
        </w:rPr>
      </w:pPr>
      <w:r w:rsidRPr="1B174BA5">
        <w:rPr>
          <w:rFonts w:ascii="Calibri" w:eastAsia="Calibri" w:hAnsi="Calibri" w:cs="Calibri"/>
          <w:color w:val="000000" w:themeColor="text1"/>
        </w:rPr>
        <w:t>Results of the TEP rating of agreement with the validity statement were as follows: A total of</w:t>
      </w:r>
      <w:r w:rsidR="003B1311">
        <w:rPr>
          <w:rFonts w:ascii="Calibri" w:eastAsia="Calibri" w:hAnsi="Calibri" w:cs="Calibri"/>
          <w:color w:val="000000" w:themeColor="text1"/>
        </w:rPr>
        <w:t xml:space="preserve"> 15</w:t>
      </w:r>
      <w:r w:rsidRPr="1B174BA5">
        <w:rPr>
          <w:rFonts w:ascii="Calibri" w:eastAsia="Calibri" w:hAnsi="Calibri" w:cs="Calibri"/>
          <w:color w:val="000000" w:themeColor="text1"/>
        </w:rPr>
        <w:t xml:space="preserve"> TEP members responded. The scale was as follows: </w:t>
      </w:r>
      <w:r w:rsidRPr="1B174BA5">
        <w:rPr>
          <w:rFonts w:ascii="Calibri" w:eastAsia="Calibri" w:hAnsi="Calibri" w:cs="Calibri"/>
          <w:i/>
          <w:iCs/>
          <w:color w:val="000000" w:themeColor="text1"/>
        </w:rPr>
        <w:t>strongly agree, agree, disagree, strongly disagree.</w:t>
      </w:r>
    </w:p>
    <w:p w14:paraId="460FAE74" w14:textId="65DE897C" w:rsidR="00DD5919" w:rsidRPr="0091478C" w:rsidRDefault="00622F96" w:rsidP="00DD5919">
      <w:r w:rsidRPr="00915C5A">
        <w:rPr>
          <w:b/>
          <w:bCs/>
        </w:rPr>
        <w:t>Construct Validity:</w:t>
      </w:r>
      <w:r>
        <w:t xml:space="preserve"> </w:t>
      </w:r>
      <w:r w:rsidR="00DD5919" w:rsidRPr="0091478C">
        <w:t xml:space="preserve">CORE conducted an analysis of construct validity to </w:t>
      </w:r>
      <w:r w:rsidR="00DD5919">
        <w:t>demonstrate</w:t>
      </w:r>
      <w:r w:rsidR="00DD5919" w:rsidRPr="0091478C">
        <w:t xml:space="preserve"> the measure’s validity to stakeholders. Construct validity is the extent to which the measure accurately assesses what it is intended to. ECCQ eCQM is a novel intermediate outcome measure, so no other relevant existing external quality measures were available for such construct validity testing. Therefore, CORE examined other quality measures that may be considered capturing a similar quality signal.</w:t>
      </w:r>
    </w:p>
    <w:p w14:paraId="62A460D2" w14:textId="0FE96A78" w:rsidR="00DD5919" w:rsidRPr="0091478C" w:rsidRDefault="00DD5919" w:rsidP="00DD5919">
      <w:r w:rsidRPr="0091478C">
        <w:t>Hospital capacity, including several of the numerator components of the ECCQ eCQM, have been shown to be associated with hospital quality across a range of outcomes including mortality, patient experience, and cost. CORE tested the construct validity</w:t>
      </w:r>
      <w:r w:rsidR="006D5B8F">
        <w:t xml:space="preserve">, as shown in </w:t>
      </w:r>
      <w:hyperlink w:anchor="table2" w:history="1">
        <w:r w:rsidR="006D5B8F" w:rsidRPr="006D5B8F">
          <w:rPr>
            <w:rStyle w:val="Hyperlink"/>
          </w:rPr>
          <w:t>Table 2</w:t>
        </w:r>
      </w:hyperlink>
      <w:r w:rsidRPr="0091478C">
        <w:t xml:space="preserve"> of ECCQ eCQM by examining the association between measure score performance and broadly available and validated measures of hospital quality, including:</w:t>
      </w:r>
    </w:p>
    <w:p w14:paraId="57233978" w14:textId="77777777" w:rsidR="00DD5919" w:rsidRPr="0091478C" w:rsidRDefault="00DD5919" w:rsidP="007926AF">
      <w:pPr>
        <w:pStyle w:val="ListParagraph"/>
        <w:numPr>
          <w:ilvl w:val="0"/>
          <w:numId w:val="11"/>
        </w:numPr>
        <w:spacing w:after="160" w:line="259" w:lineRule="auto"/>
        <w:contextualSpacing/>
      </w:pPr>
      <w:r w:rsidRPr="0091478C">
        <w:t xml:space="preserve">Overall Hospital Quality Star </w:t>
      </w:r>
      <w:proofErr w:type="gramStart"/>
      <w:r w:rsidRPr="0091478C">
        <w:t>Rating;</w:t>
      </w:r>
      <w:proofErr w:type="gramEnd"/>
    </w:p>
    <w:p w14:paraId="7D60A0FC" w14:textId="77777777" w:rsidR="00DD5919" w:rsidRPr="0091478C" w:rsidRDefault="00DD5919" w:rsidP="007926AF">
      <w:pPr>
        <w:pStyle w:val="ListParagraph"/>
        <w:numPr>
          <w:ilvl w:val="0"/>
          <w:numId w:val="11"/>
        </w:numPr>
        <w:spacing w:after="160" w:line="259" w:lineRule="auto"/>
        <w:contextualSpacing/>
      </w:pPr>
      <w:r w:rsidRPr="0091478C">
        <w:t xml:space="preserve">Hospital Quality Summary </w:t>
      </w:r>
      <w:proofErr w:type="gramStart"/>
      <w:r w:rsidRPr="0091478C">
        <w:t>Score;</w:t>
      </w:r>
      <w:proofErr w:type="gramEnd"/>
      <w:r w:rsidRPr="0091478C">
        <w:t xml:space="preserve"> </w:t>
      </w:r>
    </w:p>
    <w:p w14:paraId="7F0CCF11" w14:textId="77777777" w:rsidR="00DD5919" w:rsidRPr="0091478C" w:rsidRDefault="00DD5919" w:rsidP="007926AF">
      <w:pPr>
        <w:pStyle w:val="ListParagraph"/>
        <w:numPr>
          <w:ilvl w:val="0"/>
          <w:numId w:val="11"/>
        </w:numPr>
        <w:spacing w:after="160" w:line="259" w:lineRule="auto"/>
        <w:contextualSpacing/>
      </w:pPr>
      <w:r w:rsidRPr="0091478C">
        <w:t xml:space="preserve">Domain-Level Quality Score in </w:t>
      </w:r>
      <w:proofErr w:type="gramStart"/>
      <w:r w:rsidRPr="0091478C">
        <w:t>Mortality;</w:t>
      </w:r>
      <w:proofErr w:type="gramEnd"/>
    </w:p>
    <w:p w14:paraId="2970B231" w14:textId="77777777" w:rsidR="00DD5919" w:rsidRPr="0091478C" w:rsidRDefault="00DD5919" w:rsidP="007926AF">
      <w:pPr>
        <w:pStyle w:val="ListParagraph"/>
        <w:numPr>
          <w:ilvl w:val="0"/>
          <w:numId w:val="11"/>
        </w:numPr>
        <w:spacing w:after="160" w:line="259" w:lineRule="auto"/>
        <w:contextualSpacing/>
      </w:pPr>
      <w:r w:rsidRPr="0091478C">
        <w:t>Domain-Level Quality Score in Readmission; and</w:t>
      </w:r>
    </w:p>
    <w:p w14:paraId="6370D4BF" w14:textId="77777777" w:rsidR="00DD5919" w:rsidRPr="0091478C" w:rsidRDefault="00DD5919" w:rsidP="007926AF">
      <w:pPr>
        <w:pStyle w:val="ListParagraph"/>
        <w:numPr>
          <w:ilvl w:val="0"/>
          <w:numId w:val="11"/>
        </w:numPr>
        <w:spacing w:after="160" w:line="259" w:lineRule="auto"/>
        <w:contextualSpacing/>
      </w:pPr>
      <w:r w:rsidRPr="0091478C">
        <w:t>Domain-Level Quality Score in Timely Care.</w:t>
      </w:r>
    </w:p>
    <w:p w14:paraId="3C9D6E16" w14:textId="14F37AE8" w:rsidR="005703D8" w:rsidRDefault="00DD5919" w:rsidP="1B174BA5">
      <w:r>
        <w:t xml:space="preserve">Dataset A 2023 and Dataset B overall measure scores were used to calculate the Spearman's rank correlation coefficients. </w:t>
      </w:r>
    </w:p>
    <w:p w14:paraId="75353A95" w14:textId="114BA7A3" w:rsidR="005703D8" w:rsidRPr="00DB0A7B" w:rsidRDefault="0094740B" w:rsidP="005703D8">
      <w:r w:rsidRPr="1B174BA5">
        <w:rPr>
          <w:b/>
          <w:bCs/>
        </w:rPr>
        <w:t>Data Element Validity:</w:t>
      </w:r>
      <w:r>
        <w:t xml:space="preserve"> </w:t>
      </w:r>
      <w:bookmarkStart w:id="27" w:name="_Hlk174112586"/>
      <w:r w:rsidR="005703D8">
        <w:t xml:space="preserve">we assessed data element </w:t>
      </w:r>
      <w:bookmarkStart w:id="28" w:name="_Hlk172799517"/>
      <w:r w:rsidR="005703D8">
        <w:t>validity by the raw match rate of each required EHR data element to their chart abstracted data element</w:t>
      </w:r>
      <w:bookmarkEnd w:id="28"/>
      <w:r w:rsidR="005729C3">
        <w:t xml:space="preserve">, as shown in </w:t>
      </w:r>
      <w:hyperlink w:anchor="table3new" w:history="1">
        <w:r w:rsidR="005729C3" w:rsidRPr="005729C3">
          <w:rPr>
            <w:rStyle w:val="Hyperlink"/>
          </w:rPr>
          <w:t>Table 3</w:t>
        </w:r>
      </w:hyperlink>
      <w:r w:rsidR="005703D8">
        <w:t xml:space="preserve">. </w:t>
      </w:r>
      <w:bookmarkStart w:id="29" w:name="_Hlk172800104"/>
      <w:r w:rsidR="005703D8">
        <w:t>We validate</w:t>
      </w:r>
      <w:r w:rsidR="2E899A31">
        <w:t>d</w:t>
      </w:r>
      <w:r w:rsidR="005703D8">
        <w:t xml:space="preserve"> numerator events, denominator-only encounters (which should not qualify for the numerator), and those in the numerator exclusion being observation stays. We want</w:t>
      </w:r>
      <w:r w:rsidR="5DE49616">
        <w:t>ed</w:t>
      </w:r>
      <w:r w:rsidR="005703D8">
        <w:t xml:space="preserve"> to closely examine the timestamps with encounters associated with transfers and admitted patients. </w:t>
      </w:r>
    </w:p>
    <w:p w14:paraId="16155C72" w14:textId="3548E5D8" w:rsidR="005703D8" w:rsidRPr="00DB0A7B" w:rsidRDefault="005703D8" w:rsidP="005703D8">
      <w:r>
        <w:t>Abstractors look</w:t>
      </w:r>
      <w:r w:rsidR="68495F3E">
        <w:t>ed</w:t>
      </w:r>
      <w:r>
        <w:t xml:space="preserve"> for and input the timestamp for each of the required data elements in the </w:t>
      </w:r>
      <w:r w:rsidR="00A9755F" w:rsidRPr="00A55BD8">
        <w:t>25</w:t>
      </w:r>
      <w:r w:rsidR="00A55BD8" w:rsidRPr="00A55BD8">
        <w:t xml:space="preserve">4 </w:t>
      </w:r>
      <w:r>
        <w:t>encounters. This allow</w:t>
      </w:r>
      <w:r w:rsidR="24BA778D">
        <w:t xml:space="preserve">ed </w:t>
      </w:r>
      <w:r>
        <w:t xml:space="preserve">us to validate the timestamp for each encounter in the </w:t>
      </w:r>
      <w:r w:rsidR="1CB0AF00">
        <w:t>numerator and</w:t>
      </w:r>
      <w:r>
        <w:t xml:space="preserve"> identify whether the electronic data pull missed any encounters that should be in the numerator. </w:t>
      </w:r>
    </w:p>
    <w:p w14:paraId="684E7ACE" w14:textId="51BFC40A" w:rsidR="1B174BA5" w:rsidRDefault="005703D8" w:rsidP="00F41AE1">
      <w:r>
        <w:t>We</w:t>
      </w:r>
      <w:r w:rsidR="0066381A">
        <w:t xml:space="preserve"> considered</w:t>
      </w:r>
      <w:r>
        <w:t xml:space="preserve"> each data element “matched” if the electronically extracted value (from EHR) exactly matched the manual abstraction value (from the patient medical record). For each data element, match </w:t>
      </w:r>
      <w:r>
        <w:lastRenderedPageBreak/>
        <w:t xml:space="preserve">month, day, year, hour, and minutes. To identify </w:t>
      </w:r>
      <w:r w:rsidR="005729C3">
        <w:t xml:space="preserve">the </w:t>
      </w:r>
      <w:r>
        <w:t xml:space="preserve">numerator exclusion, the ED disposition was also documented. </w:t>
      </w:r>
      <w:bookmarkEnd w:id="29"/>
    </w:p>
    <w:bookmarkEnd w:id="27"/>
    <w:p w14:paraId="7B68A779" w14:textId="5E0C6283" w:rsidR="005729C3" w:rsidRDefault="00300F1C" w:rsidP="005729C3">
      <w:pPr>
        <w:pStyle w:val="Heading5"/>
      </w:pPr>
      <w:r>
        <w:t>4.5</w:t>
      </w:r>
      <w:r w:rsidR="002C1B51">
        <w:t>.</w:t>
      </w:r>
      <w:r w:rsidR="00C42A61">
        <w:t>4</w:t>
      </w:r>
      <w:r>
        <w:tab/>
      </w:r>
      <w:r w:rsidR="002C1B51">
        <w:t xml:space="preserve">Statistical Results from Validity Testing </w:t>
      </w:r>
    </w:p>
    <w:p w14:paraId="29D07D6C" w14:textId="1DA4FF9E" w:rsidR="005729C3" w:rsidRPr="005729C3" w:rsidRDefault="005729C3" w:rsidP="005729C3">
      <w:pPr>
        <w:rPr>
          <w:b/>
          <w:bCs/>
        </w:rPr>
      </w:pPr>
      <w:r>
        <w:rPr>
          <w:b/>
          <w:bCs/>
        </w:rPr>
        <w:t>Construct Validity:</w:t>
      </w:r>
    </w:p>
    <w:p w14:paraId="4BB06EA1" w14:textId="18C298BB" w:rsidR="0094740B" w:rsidRPr="00BC3876" w:rsidRDefault="0094740B" w:rsidP="0094740B">
      <w:pPr>
        <w:pStyle w:val="Caption"/>
        <w:keepNext/>
      </w:pPr>
      <w:bookmarkStart w:id="30" w:name="table2"/>
      <w:r w:rsidRPr="00BC3876">
        <w:t xml:space="preserve">Table </w:t>
      </w:r>
      <w:r w:rsidR="005729C3">
        <w:t>2</w:t>
      </w:r>
      <w:r w:rsidR="00BC3876" w:rsidRPr="00BC3876">
        <w:t>.</w:t>
      </w:r>
      <w:r w:rsidRPr="00BC3876">
        <w:t xml:space="preserve"> </w:t>
      </w:r>
      <w:r w:rsidR="00275B09" w:rsidRPr="00BC3876">
        <w:t xml:space="preserve">Construct Validity: </w:t>
      </w:r>
      <w:r w:rsidRPr="00BC3876">
        <w:t>Correlation Between the ECCQ eCQM and Validated Existing Measures of Hospital Quality</w:t>
      </w:r>
    </w:p>
    <w:tbl>
      <w:tblPr>
        <w:tblStyle w:val="TableGrid"/>
        <w:tblW w:w="9369" w:type="dxa"/>
        <w:tblLook w:val="0420" w:firstRow="1" w:lastRow="0" w:firstColumn="0" w:lastColumn="0" w:noHBand="0" w:noVBand="1"/>
      </w:tblPr>
      <w:tblGrid>
        <w:gridCol w:w="923"/>
        <w:gridCol w:w="1358"/>
        <w:gridCol w:w="1323"/>
        <w:gridCol w:w="1348"/>
        <w:gridCol w:w="1440"/>
        <w:gridCol w:w="1437"/>
        <w:gridCol w:w="1540"/>
      </w:tblGrid>
      <w:tr w:rsidR="0094740B" w:rsidRPr="00D72025" w14:paraId="5404D59F" w14:textId="77777777" w:rsidTr="0094740B">
        <w:trPr>
          <w:trHeight w:val="1246"/>
        </w:trPr>
        <w:tc>
          <w:tcPr>
            <w:tcW w:w="923" w:type="dxa"/>
            <w:shd w:val="clear" w:color="auto" w:fill="323E4F" w:themeFill="text2" w:themeFillShade="BF"/>
            <w:hideMark/>
          </w:tcPr>
          <w:bookmarkEnd w:id="30"/>
          <w:p w14:paraId="51E8900C" w14:textId="77777777" w:rsidR="0094740B" w:rsidRPr="00D72025" w:rsidRDefault="0094740B">
            <w:pPr>
              <w:jc w:val="center"/>
              <w:rPr>
                <w:rFonts w:eastAsia="Aptos" w:cstheme="minorHAnsi"/>
                <w:color w:val="FFFFFF" w:themeColor="background1"/>
              </w:rPr>
            </w:pPr>
            <w:r w:rsidRPr="00D72025">
              <w:rPr>
                <w:rFonts w:eastAsia="Aptos" w:cstheme="minorHAnsi"/>
                <w:b/>
                <w:bCs/>
                <w:color w:val="FFFFFF" w:themeColor="background1"/>
              </w:rPr>
              <w:t>Dataset</w:t>
            </w:r>
          </w:p>
        </w:tc>
        <w:tc>
          <w:tcPr>
            <w:tcW w:w="1358" w:type="dxa"/>
            <w:shd w:val="clear" w:color="auto" w:fill="323E4F" w:themeFill="text2" w:themeFillShade="BF"/>
            <w:hideMark/>
          </w:tcPr>
          <w:p w14:paraId="61EAFFD3" w14:textId="77777777" w:rsidR="0094740B" w:rsidRPr="00D72025" w:rsidRDefault="0094740B">
            <w:pPr>
              <w:jc w:val="center"/>
              <w:rPr>
                <w:rFonts w:eastAsia="Aptos" w:cstheme="minorHAnsi"/>
                <w:color w:val="FFFFFF" w:themeColor="background1"/>
              </w:rPr>
            </w:pPr>
            <w:r w:rsidRPr="00D72025">
              <w:rPr>
                <w:rFonts w:eastAsia="Aptos" w:cstheme="minorHAnsi"/>
                <w:b/>
                <w:bCs/>
                <w:color w:val="FFFFFF" w:themeColor="background1"/>
              </w:rPr>
              <w:t>Expected Relationship</w:t>
            </w:r>
          </w:p>
        </w:tc>
        <w:tc>
          <w:tcPr>
            <w:tcW w:w="1323" w:type="dxa"/>
            <w:shd w:val="clear" w:color="auto" w:fill="323E4F" w:themeFill="text2" w:themeFillShade="BF"/>
            <w:hideMark/>
          </w:tcPr>
          <w:p w14:paraId="0F65338C" w14:textId="77777777" w:rsidR="0094740B" w:rsidRPr="00D72025" w:rsidRDefault="0094740B">
            <w:pPr>
              <w:jc w:val="center"/>
              <w:rPr>
                <w:rFonts w:eastAsia="Aptos" w:cstheme="minorHAnsi"/>
                <w:color w:val="FFFFFF" w:themeColor="background1"/>
              </w:rPr>
            </w:pPr>
            <w:r w:rsidRPr="00D72025">
              <w:rPr>
                <w:rFonts w:eastAsia="Aptos" w:cstheme="minorHAnsi"/>
                <w:b/>
                <w:bCs/>
                <w:color w:val="FFFFFF" w:themeColor="background1"/>
              </w:rPr>
              <w:t>Overall Hospital Quality Star Rating</w:t>
            </w:r>
          </w:p>
        </w:tc>
        <w:tc>
          <w:tcPr>
            <w:tcW w:w="1348" w:type="dxa"/>
            <w:shd w:val="clear" w:color="auto" w:fill="323E4F" w:themeFill="text2" w:themeFillShade="BF"/>
            <w:hideMark/>
          </w:tcPr>
          <w:p w14:paraId="387738EF" w14:textId="77777777" w:rsidR="0094740B" w:rsidRPr="00D72025" w:rsidRDefault="0094740B">
            <w:pPr>
              <w:jc w:val="center"/>
              <w:rPr>
                <w:rFonts w:eastAsia="Aptos" w:cstheme="minorHAnsi"/>
                <w:color w:val="FFFFFF" w:themeColor="background1"/>
              </w:rPr>
            </w:pPr>
            <w:r w:rsidRPr="00D72025">
              <w:rPr>
                <w:rFonts w:eastAsia="Aptos" w:cstheme="minorHAnsi"/>
                <w:b/>
                <w:bCs/>
                <w:color w:val="FFFFFF" w:themeColor="background1"/>
              </w:rPr>
              <w:t>Hospital Quality Summary Score</w:t>
            </w:r>
          </w:p>
        </w:tc>
        <w:tc>
          <w:tcPr>
            <w:tcW w:w="1440" w:type="dxa"/>
            <w:shd w:val="clear" w:color="auto" w:fill="323E4F" w:themeFill="text2" w:themeFillShade="BF"/>
            <w:hideMark/>
          </w:tcPr>
          <w:p w14:paraId="50CFEFB5" w14:textId="77777777" w:rsidR="0094740B" w:rsidRPr="00D72025" w:rsidRDefault="0094740B">
            <w:pPr>
              <w:jc w:val="center"/>
              <w:rPr>
                <w:rFonts w:eastAsia="Aptos" w:cstheme="minorHAnsi"/>
                <w:color w:val="FFFFFF" w:themeColor="background1"/>
              </w:rPr>
            </w:pPr>
            <w:r w:rsidRPr="00D72025">
              <w:rPr>
                <w:rFonts w:eastAsia="Aptos" w:cstheme="minorHAnsi"/>
                <w:b/>
                <w:bCs/>
                <w:color w:val="FFFFFF" w:themeColor="background1"/>
              </w:rPr>
              <w:t>Domain-Level Quality Score: Readmission</w:t>
            </w:r>
          </w:p>
        </w:tc>
        <w:tc>
          <w:tcPr>
            <w:tcW w:w="1437" w:type="dxa"/>
            <w:shd w:val="clear" w:color="auto" w:fill="323E4F" w:themeFill="text2" w:themeFillShade="BF"/>
            <w:hideMark/>
          </w:tcPr>
          <w:p w14:paraId="542BC626" w14:textId="77777777" w:rsidR="0094740B" w:rsidRPr="00D72025" w:rsidRDefault="0094740B">
            <w:pPr>
              <w:jc w:val="center"/>
              <w:rPr>
                <w:rFonts w:eastAsia="Aptos" w:cstheme="minorHAnsi"/>
                <w:color w:val="FFFFFF" w:themeColor="background1"/>
              </w:rPr>
            </w:pPr>
            <w:r w:rsidRPr="00D72025">
              <w:rPr>
                <w:rFonts w:eastAsia="Aptos" w:cstheme="minorHAnsi"/>
                <w:b/>
                <w:bCs/>
                <w:color w:val="FFFFFF" w:themeColor="background1"/>
              </w:rPr>
              <w:t>Domain-Level Quality Score: Mortality</w:t>
            </w:r>
          </w:p>
        </w:tc>
        <w:tc>
          <w:tcPr>
            <w:tcW w:w="1540" w:type="dxa"/>
            <w:shd w:val="clear" w:color="auto" w:fill="323E4F" w:themeFill="text2" w:themeFillShade="BF"/>
            <w:hideMark/>
          </w:tcPr>
          <w:p w14:paraId="2E5D8004" w14:textId="77777777" w:rsidR="0094740B" w:rsidRPr="00D72025" w:rsidRDefault="0094740B">
            <w:pPr>
              <w:jc w:val="center"/>
              <w:rPr>
                <w:rFonts w:eastAsia="Aptos" w:cstheme="minorHAnsi"/>
                <w:color w:val="FFFFFF" w:themeColor="background1"/>
              </w:rPr>
            </w:pPr>
            <w:r w:rsidRPr="00D72025">
              <w:rPr>
                <w:rFonts w:eastAsia="Aptos" w:cstheme="minorHAnsi"/>
                <w:b/>
                <w:bCs/>
                <w:color w:val="FFFFFF" w:themeColor="background1"/>
              </w:rPr>
              <w:t>Domain-Level Quality Score: Timely Care</w:t>
            </w:r>
          </w:p>
        </w:tc>
      </w:tr>
      <w:tr w:rsidR="0094740B" w:rsidRPr="00D72025" w14:paraId="6CCE96A6" w14:textId="77777777" w:rsidTr="0094740B">
        <w:trPr>
          <w:trHeight w:val="260"/>
        </w:trPr>
        <w:tc>
          <w:tcPr>
            <w:tcW w:w="923" w:type="dxa"/>
            <w:hideMark/>
          </w:tcPr>
          <w:p w14:paraId="58840921" w14:textId="77777777" w:rsidR="0094740B" w:rsidRPr="00D72025" w:rsidRDefault="0094740B">
            <w:pPr>
              <w:rPr>
                <w:rFonts w:eastAsia="Aptos" w:cstheme="minorHAnsi"/>
              </w:rPr>
            </w:pPr>
            <w:r w:rsidRPr="00D72025">
              <w:rPr>
                <w:rFonts w:eastAsia="Aptos" w:cstheme="minorHAnsi"/>
                <w:b/>
                <w:bCs/>
              </w:rPr>
              <w:t>Dataset A, 2022</w:t>
            </w:r>
          </w:p>
        </w:tc>
        <w:tc>
          <w:tcPr>
            <w:tcW w:w="1358" w:type="dxa"/>
            <w:hideMark/>
          </w:tcPr>
          <w:p w14:paraId="5C5F250E" w14:textId="77777777" w:rsidR="0094740B" w:rsidRPr="00D72025" w:rsidRDefault="0094740B">
            <w:pPr>
              <w:rPr>
                <w:rFonts w:eastAsia="Aptos" w:cstheme="minorHAnsi"/>
              </w:rPr>
            </w:pPr>
            <w:r w:rsidRPr="00D72025">
              <w:rPr>
                <w:rFonts w:eastAsia="Aptos" w:cstheme="minorHAnsi"/>
              </w:rPr>
              <w:t>Negative</w:t>
            </w:r>
          </w:p>
        </w:tc>
        <w:tc>
          <w:tcPr>
            <w:tcW w:w="1323" w:type="dxa"/>
            <w:hideMark/>
          </w:tcPr>
          <w:p w14:paraId="491D83C5" w14:textId="77777777" w:rsidR="0094740B" w:rsidRPr="00D72025" w:rsidRDefault="0094740B">
            <w:pPr>
              <w:rPr>
                <w:rFonts w:eastAsia="Aptos" w:cstheme="minorHAnsi"/>
              </w:rPr>
            </w:pPr>
            <w:r w:rsidRPr="00D72025">
              <w:rPr>
                <w:rFonts w:eastAsia="Aptos" w:cstheme="minorHAnsi"/>
              </w:rPr>
              <w:t>-0.56</w:t>
            </w:r>
            <w:r w:rsidRPr="00D72025">
              <w:rPr>
                <w:rFonts w:eastAsia="Aptos" w:cstheme="minorHAnsi"/>
              </w:rPr>
              <w:tab/>
            </w:r>
          </w:p>
        </w:tc>
        <w:tc>
          <w:tcPr>
            <w:tcW w:w="1348" w:type="dxa"/>
            <w:hideMark/>
          </w:tcPr>
          <w:p w14:paraId="0C54F5CF" w14:textId="77777777" w:rsidR="0094740B" w:rsidRPr="00D72025" w:rsidRDefault="0094740B">
            <w:pPr>
              <w:rPr>
                <w:rFonts w:eastAsia="Aptos" w:cstheme="minorHAnsi"/>
              </w:rPr>
            </w:pPr>
            <w:r>
              <w:rPr>
                <w:rFonts w:eastAsia="Aptos" w:cstheme="minorHAnsi"/>
              </w:rPr>
              <w:t>-</w:t>
            </w:r>
            <w:r w:rsidRPr="00D72025">
              <w:rPr>
                <w:rFonts w:eastAsia="Aptos" w:cstheme="minorHAnsi"/>
              </w:rPr>
              <w:t>0.73</w:t>
            </w:r>
          </w:p>
        </w:tc>
        <w:tc>
          <w:tcPr>
            <w:tcW w:w="1440" w:type="dxa"/>
            <w:hideMark/>
          </w:tcPr>
          <w:p w14:paraId="3266C67D" w14:textId="77777777" w:rsidR="0094740B" w:rsidRPr="00D72025" w:rsidRDefault="0094740B">
            <w:pPr>
              <w:rPr>
                <w:rFonts w:eastAsia="Aptos" w:cstheme="minorHAnsi"/>
              </w:rPr>
            </w:pPr>
            <w:r w:rsidRPr="00D72025">
              <w:rPr>
                <w:rFonts w:eastAsia="Aptos" w:cstheme="minorHAnsi"/>
              </w:rPr>
              <w:t>-0.61</w:t>
            </w:r>
          </w:p>
        </w:tc>
        <w:tc>
          <w:tcPr>
            <w:tcW w:w="1437" w:type="dxa"/>
            <w:hideMark/>
          </w:tcPr>
          <w:p w14:paraId="2BD97D68" w14:textId="77777777" w:rsidR="0094740B" w:rsidRPr="00D72025" w:rsidRDefault="0094740B">
            <w:pPr>
              <w:rPr>
                <w:rFonts w:eastAsia="Aptos" w:cstheme="minorHAnsi"/>
              </w:rPr>
            </w:pPr>
            <w:r w:rsidRPr="00D72025">
              <w:rPr>
                <w:rFonts w:eastAsia="Aptos" w:cstheme="minorHAnsi"/>
              </w:rPr>
              <w:t>-0.13</w:t>
            </w:r>
          </w:p>
        </w:tc>
        <w:tc>
          <w:tcPr>
            <w:tcW w:w="1540" w:type="dxa"/>
            <w:hideMark/>
          </w:tcPr>
          <w:p w14:paraId="51ACCA02" w14:textId="77777777" w:rsidR="0094740B" w:rsidRPr="00D72025" w:rsidRDefault="0094740B">
            <w:pPr>
              <w:rPr>
                <w:rFonts w:eastAsia="Aptos" w:cstheme="minorHAnsi"/>
              </w:rPr>
            </w:pPr>
            <w:r w:rsidRPr="00D72025">
              <w:rPr>
                <w:rFonts w:eastAsia="Aptos" w:cstheme="minorHAnsi"/>
              </w:rPr>
              <w:t>-0.54</w:t>
            </w:r>
          </w:p>
        </w:tc>
      </w:tr>
      <w:tr w:rsidR="0094740B" w:rsidRPr="00D72025" w14:paraId="1035F0A8" w14:textId="77777777" w:rsidTr="0094740B">
        <w:trPr>
          <w:trHeight w:val="350"/>
        </w:trPr>
        <w:tc>
          <w:tcPr>
            <w:tcW w:w="923" w:type="dxa"/>
            <w:hideMark/>
          </w:tcPr>
          <w:p w14:paraId="4C765C09" w14:textId="77777777" w:rsidR="0094740B" w:rsidRPr="00D72025" w:rsidRDefault="0094740B">
            <w:pPr>
              <w:rPr>
                <w:rFonts w:eastAsia="Aptos" w:cstheme="minorHAnsi"/>
              </w:rPr>
            </w:pPr>
            <w:r w:rsidRPr="00D72025">
              <w:rPr>
                <w:rFonts w:eastAsia="Aptos" w:cstheme="minorHAnsi"/>
                <w:b/>
                <w:bCs/>
              </w:rPr>
              <w:t>Dataset B</w:t>
            </w:r>
            <w:r>
              <w:rPr>
                <w:rFonts w:eastAsia="Aptos" w:cstheme="minorHAnsi"/>
                <w:b/>
                <w:bCs/>
              </w:rPr>
              <w:t xml:space="preserve">, </w:t>
            </w:r>
            <w:r w:rsidRPr="00D72025">
              <w:rPr>
                <w:rFonts w:eastAsia="Aptos" w:cstheme="minorHAnsi"/>
                <w:b/>
                <w:bCs/>
              </w:rPr>
              <w:t>2022</w:t>
            </w:r>
          </w:p>
        </w:tc>
        <w:tc>
          <w:tcPr>
            <w:tcW w:w="1358" w:type="dxa"/>
            <w:hideMark/>
          </w:tcPr>
          <w:p w14:paraId="73B59750" w14:textId="77777777" w:rsidR="0094740B" w:rsidRPr="00D72025" w:rsidRDefault="0094740B">
            <w:pPr>
              <w:rPr>
                <w:rFonts w:eastAsia="Aptos" w:cstheme="minorHAnsi"/>
              </w:rPr>
            </w:pPr>
            <w:r w:rsidRPr="00D72025">
              <w:rPr>
                <w:rFonts w:eastAsia="Aptos" w:cstheme="minorHAnsi"/>
              </w:rPr>
              <w:t>Negative</w:t>
            </w:r>
          </w:p>
        </w:tc>
        <w:tc>
          <w:tcPr>
            <w:tcW w:w="1323" w:type="dxa"/>
            <w:hideMark/>
          </w:tcPr>
          <w:p w14:paraId="187AD44C" w14:textId="77777777" w:rsidR="0094740B" w:rsidRPr="00D72025" w:rsidRDefault="0094740B">
            <w:pPr>
              <w:rPr>
                <w:rFonts w:eastAsia="Aptos" w:cstheme="minorHAnsi"/>
              </w:rPr>
            </w:pPr>
            <w:r w:rsidRPr="00D72025">
              <w:rPr>
                <w:rFonts w:eastAsia="Aptos" w:cstheme="minorHAnsi"/>
              </w:rPr>
              <w:t>-0.55</w:t>
            </w:r>
          </w:p>
        </w:tc>
        <w:tc>
          <w:tcPr>
            <w:tcW w:w="1348" w:type="dxa"/>
            <w:hideMark/>
          </w:tcPr>
          <w:p w14:paraId="3B2F2161" w14:textId="77777777" w:rsidR="0094740B" w:rsidRPr="00D72025" w:rsidRDefault="0094740B">
            <w:pPr>
              <w:rPr>
                <w:rFonts w:eastAsia="Aptos" w:cstheme="minorHAnsi"/>
              </w:rPr>
            </w:pPr>
            <w:r w:rsidRPr="00D72025">
              <w:rPr>
                <w:rFonts w:eastAsia="Aptos" w:cstheme="minorHAnsi"/>
              </w:rPr>
              <w:t>-0.53</w:t>
            </w:r>
          </w:p>
        </w:tc>
        <w:tc>
          <w:tcPr>
            <w:tcW w:w="1440" w:type="dxa"/>
            <w:hideMark/>
          </w:tcPr>
          <w:p w14:paraId="1A2061CE" w14:textId="77777777" w:rsidR="0094740B" w:rsidRPr="00D72025" w:rsidRDefault="0094740B">
            <w:pPr>
              <w:rPr>
                <w:rFonts w:eastAsia="Aptos" w:cstheme="minorHAnsi"/>
              </w:rPr>
            </w:pPr>
            <w:r w:rsidRPr="00D72025">
              <w:rPr>
                <w:rFonts w:eastAsia="Aptos" w:cstheme="minorHAnsi"/>
              </w:rPr>
              <w:t>-0.51</w:t>
            </w:r>
          </w:p>
        </w:tc>
        <w:tc>
          <w:tcPr>
            <w:tcW w:w="1437" w:type="dxa"/>
            <w:hideMark/>
          </w:tcPr>
          <w:p w14:paraId="6754CDF6" w14:textId="77777777" w:rsidR="0094740B" w:rsidRPr="00D72025" w:rsidRDefault="0094740B">
            <w:pPr>
              <w:rPr>
                <w:rFonts w:eastAsia="Aptos" w:cstheme="minorHAnsi"/>
              </w:rPr>
            </w:pPr>
            <w:r w:rsidRPr="00D72025">
              <w:rPr>
                <w:rFonts w:eastAsia="Aptos" w:cstheme="minorHAnsi"/>
              </w:rPr>
              <w:t>-0.26</w:t>
            </w:r>
          </w:p>
        </w:tc>
        <w:tc>
          <w:tcPr>
            <w:tcW w:w="1540" w:type="dxa"/>
            <w:hideMark/>
          </w:tcPr>
          <w:p w14:paraId="3B6E4410" w14:textId="77777777" w:rsidR="0094740B" w:rsidRPr="00D72025" w:rsidRDefault="0094740B">
            <w:pPr>
              <w:rPr>
                <w:rFonts w:eastAsia="Aptos" w:cstheme="minorHAnsi"/>
              </w:rPr>
            </w:pPr>
            <w:r w:rsidRPr="00D72025">
              <w:rPr>
                <w:rFonts w:eastAsia="Aptos" w:cstheme="minorHAnsi"/>
              </w:rPr>
              <w:t>-0.35</w:t>
            </w:r>
          </w:p>
        </w:tc>
      </w:tr>
    </w:tbl>
    <w:p w14:paraId="5A8019CD" w14:textId="193AD772" w:rsidR="002C1B51" w:rsidRDefault="002C1B51" w:rsidP="109B55FF">
      <w:pPr>
        <w:pStyle w:val="BlueprintText"/>
      </w:pPr>
    </w:p>
    <w:p w14:paraId="64682561" w14:textId="77777777" w:rsidR="005729C3" w:rsidRPr="005729C3" w:rsidRDefault="005729C3" w:rsidP="005729C3">
      <w:pPr>
        <w:rPr>
          <w:b/>
          <w:bCs/>
        </w:rPr>
      </w:pPr>
      <w:r w:rsidRPr="005729C3">
        <w:rPr>
          <w:b/>
          <w:bCs/>
        </w:rPr>
        <w:t>Data Element Validity:</w:t>
      </w:r>
    </w:p>
    <w:p w14:paraId="0A6EDD39" w14:textId="77777777" w:rsidR="005729C3" w:rsidRDefault="005729C3" w:rsidP="005729C3">
      <w:pPr>
        <w:spacing w:line="257" w:lineRule="auto"/>
        <w:rPr>
          <w:rFonts w:ascii="Calibri" w:eastAsia="Calibri" w:hAnsi="Calibri" w:cs="Calibri"/>
        </w:rPr>
      </w:pPr>
      <w:bookmarkStart w:id="31" w:name="_Hlk174112651"/>
      <w:r w:rsidRPr="37146FB7">
        <w:rPr>
          <w:rFonts w:ascii="Calibri" w:eastAsia="Calibri" w:hAnsi="Calibri" w:cs="Calibri"/>
        </w:rPr>
        <w:t xml:space="preserve">Validation of ED encounters by disposition and data elements demonstrated high validity and high levels of agreement between electronic record review and manual chart review. </w:t>
      </w:r>
    </w:p>
    <w:p w14:paraId="5A298529" w14:textId="77777777" w:rsidR="005729C3" w:rsidRDefault="005729C3" w:rsidP="005729C3">
      <w:pPr>
        <w:pStyle w:val="ListParagraph"/>
        <w:numPr>
          <w:ilvl w:val="0"/>
          <w:numId w:val="13"/>
        </w:numPr>
        <w:spacing w:line="257" w:lineRule="auto"/>
        <w:contextualSpacing/>
        <w:rPr>
          <w:rFonts w:eastAsia="Calibri" w:cs="Calibri"/>
        </w:rPr>
      </w:pPr>
      <w:r w:rsidRPr="37146FB7">
        <w:rPr>
          <w:rFonts w:eastAsia="Calibri" w:cs="Calibri"/>
        </w:rPr>
        <w:t xml:space="preserve">95% of admissions records were confirmed through manual chart review. </w:t>
      </w:r>
    </w:p>
    <w:p w14:paraId="05E64B3E" w14:textId="77777777" w:rsidR="005729C3" w:rsidRDefault="005729C3" w:rsidP="005729C3">
      <w:pPr>
        <w:pStyle w:val="ListParagraph"/>
        <w:numPr>
          <w:ilvl w:val="0"/>
          <w:numId w:val="13"/>
        </w:numPr>
        <w:spacing w:line="257" w:lineRule="auto"/>
        <w:contextualSpacing/>
        <w:rPr>
          <w:rFonts w:eastAsia="Calibri" w:cs="Calibri"/>
        </w:rPr>
      </w:pPr>
      <w:r w:rsidRPr="37146FB7">
        <w:rPr>
          <w:rFonts w:eastAsia="Calibri" w:cs="Calibri"/>
        </w:rPr>
        <w:t xml:space="preserve">100% of transfer records, final ED dispositions, ED arrival time, and time placed in treatment room were confirmed through manual chart review. </w:t>
      </w:r>
    </w:p>
    <w:p w14:paraId="6EE138BA" w14:textId="77777777" w:rsidR="005729C3" w:rsidRDefault="005729C3" w:rsidP="005729C3">
      <w:pPr>
        <w:pStyle w:val="ListParagraph"/>
        <w:numPr>
          <w:ilvl w:val="0"/>
          <w:numId w:val="13"/>
        </w:numPr>
        <w:spacing w:line="257" w:lineRule="auto"/>
        <w:contextualSpacing/>
        <w:rPr>
          <w:rFonts w:eastAsia="Calibri" w:cs="Calibri"/>
        </w:rPr>
      </w:pPr>
      <w:r w:rsidRPr="37146FB7">
        <w:rPr>
          <w:rFonts w:eastAsia="Calibri" w:cs="Calibri"/>
        </w:rPr>
        <w:t>37% of reviewed records (94 out of 254) had a documented admission time, indicating 94 patients were admitted to the hospital, and of those admitted, 100% of the records had an exact match of the inpatient admission timestamp.</w:t>
      </w:r>
    </w:p>
    <w:p w14:paraId="514A220B" w14:textId="77777777" w:rsidR="005729C3" w:rsidRDefault="005729C3" w:rsidP="005729C3">
      <w:pPr>
        <w:pStyle w:val="ListParagraph"/>
        <w:numPr>
          <w:ilvl w:val="0"/>
          <w:numId w:val="13"/>
        </w:numPr>
        <w:spacing w:line="257" w:lineRule="auto"/>
        <w:contextualSpacing/>
        <w:rPr>
          <w:rFonts w:eastAsia="Calibri" w:cs="Calibri"/>
        </w:rPr>
      </w:pPr>
      <w:r w:rsidRPr="3480AADB">
        <w:rPr>
          <w:rFonts w:eastAsia="Calibri" w:cs="Calibri"/>
        </w:rPr>
        <w:t xml:space="preserve"> 96% of reviewed records had an exact match of ED departure timestamp (245 out of 254 records), for the 9 non-matching records:</w:t>
      </w:r>
    </w:p>
    <w:p w14:paraId="2408DE2F" w14:textId="77777777" w:rsidR="005729C3" w:rsidRDefault="005729C3" w:rsidP="005729C3">
      <w:pPr>
        <w:pStyle w:val="ListParagraph"/>
        <w:numPr>
          <w:ilvl w:val="1"/>
          <w:numId w:val="13"/>
        </w:numPr>
        <w:spacing w:line="257" w:lineRule="auto"/>
        <w:contextualSpacing/>
        <w:rPr>
          <w:rFonts w:eastAsia="Calibri" w:cs="Calibri"/>
        </w:rPr>
      </w:pPr>
      <w:r w:rsidRPr="3480AADB">
        <w:rPr>
          <w:rFonts w:eastAsia="Calibri" w:cs="Calibri"/>
        </w:rPr>
        <w:t>7 records had a discrepancy in time of less than 90 minutes.</w:t>
      </w:r>
    </w:p>
    <w:p w14:paraId="034070EB" w14:textId="77777777" w:rsidR="005729C3" w:rsidRDefault="005729C3" w:rsidP="005729C3">
      <w:pPr>
        <w:pStyle w:val="ListParagraph"/>
        <w:numPr>
          <w:ilvl w:val="1"/>
          <w:numId w:val="13"/>
        </w:numPr>
        <w:spacing w:line="257" w:lineRule="auto"/>
        <w:contextualSpacing/>
        <w:rPr>
          <w:rFonts w:eastAsia="Calibri" w:cs="Calibri"/>
        </w:rPr>
      </w:pPr>
      <w:r w:rsidRPr="3480AADB">
        <w:rPr>
          <w:rFonts w:eastAsia="Calibri" w:cs="Calibri"/>
        </w:rPr>
        <w:t>2 records were outliers, with a wide discrepancy in discharge time, and discrepancy caused by a readmission.</w:t>
      </w:r>
    </w:p>
    <w:p w14:paraId="5A38918E" w14:textId="199F0B36" w:rsidR="005729C3" w:rsidRDefault="005729C3" w:rsidP="005729C3">
      <w:pPr>
        <w:spacing w:line="257" w:lineRule="auto"/>
        <w:rPr>
          <w:rFonts w:ascii="Calibri" w:eastAsia="Calibri" w:hAnsi="Calibri" w:cs="Calibri"/>
        </w:rPr>
      </w:pPr>
      <w:r w:rsidRPr="37146FB7">
        <w:rPr>
          <w:rFonts w:ascii="Calibri" w:eastAsia="Calibri" w:hAnsi="Calibri" w:cs="Calibri"/>
        </w:rPr>
        <w:t xml:space="preserve">Further analyses explored the percent agreement of each timestamp used to calculate the data elements for each numerator component of the measure. The results show percentage agreement in </w:t>
      </w:r>
      <w:hyperlink w:anchor="table3new" w:history="1">
        <w:r w:rsidRPr="005729C3">
          <w:rPr>
            <w:rStyle w:val="Hyperlink"/>
            <w:rFonts w:ascii="Calibri" w:eastAsia="Calibri" w:hAnsi="Calibri" w:cs="Calibri"/>
          </w:rPr>
          <w:t>Table 3</w:t>
        </w:r>
      </w:hyperlink>
      <w:r w:rsidRPr="37146FB7">
        <w:rPr>
          <w:rFonts w:ascii="Calibri" w:eastAsia="Calibri" w:hAnsi="Calibri" w:cs="Calibri"/>
        </w:rPr>
        <w:t>.</w:t>
      </w:r>
    </w:p>
    <w:p w14:paraId="4734D88B" w14:textId="2FA52D77" w:rsidR="005729C3" w:rsidRPr="00E62DB6" w:rsidRDefault="005729C3" w:rsidP="005729C3">
      <w:pPr>
        <w:pStyle w:val="Caption"/>
      </w:pPr>
      <w:bookmarkStart w:id="32" w:name="table4"/>
      <w:bookmarkStart w:id="33" w:name="table3new"/>
      <w:r w:rsidRPr="00E62DB6">
        <w:t xml:space="preserve">Table </w:t>
      </w:r>
      <w:r>
        <w:t>3</w:t>
      </w:r>
      <w:r w:rsidRPr="00E62DB6">
        <w:t>. Percent agreement of numerator components between eCQM and manual chart review</w:t>
      </w:r>
    </w:p>
    <w:tbl>
      <w:tblPr>
        <w:tblStyle w:val="TableGrid"/>
        <w:tblW w:w="0" w:type="auto"/>
        <w:tblLayout w:type="fixed"/>
        <w:tblLook w:val="04A0" w:firstRow="1" w:lastRow="0" w:firstColumn="1" w:lastColumn="0" w:noHBand="0" w:noVBand="1"/>
      </w:tblPr>
      <w:tblGrid>
        <w:gridCol w:w="3895"/>
        <w:gridCol w:w="2938"/>
      </w:tblGrid>
      <w:tr w:rsidR="005729C3" w14:paraId="3700B389" w14:textId="77777777" w:rsidTr="00EC5742">
        <w:trPr>
          <w:trHeight w:val="300"/>
        </w:trPr>
        <w:tc>
          <w:tcPr>
            <w:tcW w:w="3895" w:type="dxa"/>
            <w:tcBorders>
              <w:top w:val="single" w:sz="8" w:space="0" w:color="auto"/>
              <w:left w:val="single" w:sz="8" w:space="0" w:color="auto"/>
              <w:bottom w:val="single" w:sz="8" w:space="0" w:color="auto"/>
              <w:right w:val="single" w:sz="8" w:space="0" w:color="auto"/>
            </w:tcBorders>
            <w:shd w:val="clear" w:color="auto" w:fill="44546A" w:themeFill="text2"/>
            <w:tcMar>
              <w:left w:w="108" w:type="dxa"/>
              <w:right w:w="108" w:type="dxa"/>
            </w:tcMar>
          </w:tcPr>
          <w:bookmarkEnd w:id="32"/>
          <w:bookmarkEnd w:id="33"/>
          <w:p w14:paraId="516422D0" w14:textId="77777777" w:rsidR="005729C3" w:rsidRDefault="005729C3" w:rsidP="00EC5742">
            <w:pPr>
              <w:rPr>
                <w:rFonts w:ascii="Calibri" w:eastAsia="Calibri" w:hAnsi="Calibri" w:cs="Calibri"/>
                <w:b/>
                <w:bCs/>
                <w:color w:val="FFFFFF" w:themeColor="background1"/>
              </w:rPr>
            </w:pPr>
            <w:r w:rsidRPr="37146FB7">
              <w:rPr>
                <w:rFonts w:ascii="Calibri" w:eastAsia="Calibri" w:hAnsi="Calibri" w:cs="Calibri"/>
                <w:b/>
                <w:bCs/>
                <w:color w:val="FFFFFF" w:themeColor="background1"/>
              </w:rPr>
              <w:t>Numerator Component</w:t>
            </w:r>
          </w:p>
        </w:tc>
        <w:tc>
          <w:tcPr>
            <w:tcW w:w="2938" w:type="dxa"/>
            <w:tcBorders>
              <w:top w:val="single" w:sz="8" w:space="0" w:color="auto"/>
              <w:left w:val="single" w:sz="8" w:space="0" w:color="auto"/>
              <w:bottom w:val="single" w:sz="8" w:space="0" w:color="auto"/>
              <w:right w:val="single" w:sz="8" w:space="0" w:color="auto"/>
            </w:tcBorders>
            <w:shd w:val="clear" w:color="auto" w:fill="44546A" w:themeFill="text2"/>
            <w:tcMar>
              <w:left w:w="108" w:type="dxa"/>
              <w:right w:w="108" w:type="dxa"/>
            </w:tcMar>
          </w:tcPr>
          <w:p w14:paraId="099868FF" w14:textId="77777777" w:rsidR="005729C3" w:rsidRDefault="005729C3" w:rsidP="00EC5742">
            <w:pPr>
              <w:rPr>
                <w:rFonts w:ascii="Calibri" w:eastAsia="Calibri" w:hAnsi="Calibri" w:cs="Calibri"/>
                <w:b/>
                <w:bCs/>
                <w:color w:val="FFFFFF" w:themeColor="background1"/>
              </w:rPr>
            </w:pPr>
            <w:r w:rsidRPr="37146FB7">
              <w:rPr>
                <w:rFonts w:ascii="Calibri" w:eastAsia="Calibri" w:hAnsi="Calibri" w:cs="Calibri"/>
                <w:b/>
                <w:bCs/>
                <w:color w:val="FFFFFF" w:themeColor="background1"/>
              </w:rPr>
              <w:t>Percent Agreement</w:t>
            </w:r>
          </w:p>
        </w:tc>
      </w:tr>
      <w:tr w:rsidR="005729C3" w14:paraId="5CE85205" w14:textId="77777777" w:rsidTr="00EC5742">
        <w:trPr>
          <w:trHeight w:val="300"/>
        </w:trPr>
        <w:tc>
          <w:tcPr>
            <w:tcW w:w="3895" w:type="dxa"/>
            <w:tcBorders>
              <w:top w:val="single" w:sz="8" w:space="0" w:color="auto"/>
              <w:left w:val="single" w:sz="8" w:space="0" w:color="auto"/>
              <w:bottom w:val="single" w:sz="8" w:space="0" w:color="auto"/>
              <w:right w:val="single" w:sz="8" w:space="0" w:color="auto"/>
            </w:tcBorders>
            <w:tcMar>
              <w:left w:w="108" w:type="dxa"/>
              <w:right w:w="108" w:type="dxa"/>
            </w:tcMar>
          </w:tcPr>
          <w:p w14:paraId="30F471C0" w14:textId="77777777" w:rsidR="005729C3" w:rsidRDefault="005729C3" w:rsidP="00EC5742">
            <w:pPr>
              <w:rPr>
                <w:rFonts w:ascii="Calibri" w:eastAsia="Calibri" w:hAnsi="Calibri" w:cs="Calibri"/>
              </w:rPr>
            </w:pPr>
            <w:r w:rsidRPr="37146FB7">
              <w:rPr>
                <w:rFonts w:ascii="Calibri" w:eastAsia="Calibri" w:hAnsi="Calibri" w:cs="Calibri"/>
              </w:rPr>
              <w:t>Time to Placement in Waiting Room</w:t>
            </w:r>
          </w:p>
        </w:tc>
        <w:tc>
          <w:tcPr>
            <w:tcW w:w="2938" w:type="dxa"/>
            <w:tcBorders>
              <w:top w:val="single" w:sz="8" w:space="0" w:color="auto"/>
              <w:left w:val="single" w:sz="8" w:space="0" w:color="auto"/>
              <w:bottom w:val="single" w:sz="8" w:space="0" w:color="auto"/>
              <w:right w:val="single" w:sz="8" w:space="0" w:color="auto"/>
            </w:tcBorders>
            <w:tcMar>
              <w:left w:w="108" w:type="dxa"/>
              <w:right w:w="108" w:type="dxa"/>
            </w:tcMar>
          </w:tcPr>
          <w:p w14:paraId="2CBCAA91" w14:textId="77777777" w:rsidR="005729C3" w:rsidRDefault="005729C3" w:rsidP="00EC5742">
            <w:pPr>
              <w:rPr>
                <w:rFonts w:ascii="Calibri" w:eastAsia="Calibri" w:hAnsi="Calibri" w:cs="Calibri"/>
              </w:rPr>
            </w:pPr>
            <w:r w:rsidRPr="37146FB7">
              <w:rPr>
                <w:rFonts w:ascii="Calibri" w:eastAsia="Calibri" w:hAnsi="Calibri" w:cs="Calibri"/>
              </w:rPr>
              <w:t xml:space="preserve">100% </w:t>
            </w:r>
          </w:p>
        </w:tc>
      </w:tr>
      <w:tr w:rsidR="005729C3" w14:paraId="63374003" w14:textId="77777777" w:rsidTr="00EC5742">
        <w:trPr>
          <w:trHeight w:val="300"/>
        </w:trPr>
        <w:tc>
          <w:tcPr>
            <w:tcW w:w="3895" w:type="dxa"/>
            <w:tcBorders>
              <w:top w:val="single" w:sz="8" w:space="0" w:color="auto"/>
              <w:left w:val="single" w:sz="8" w:space="0" w:color="auto"/>
              <w:bottom w:val="single" w:sz="8" w:space="0" w:color="auto"/>
              <w:right w:val="single" w:sz="8" w:space="0" w:color="auto"/>
            </w:tcBorders>
            <w:tcMar>
              <w:left w:w="108" w:type="dxa"/>
              <w:right w:w="108" w:type="dxa"/>
            </w:tcMar>
          </w:tcPr>
          <w:p w14:paraId="579F5F62" w14:textId="77777777" w:rsidR="005729C3" w:rsidRDefault="005729C3" w:rsidP="00EC5742">
            <w:pPr>
              <w:rPr>
                <w:rFonts w:ascii="Calibri" w:eastAsia="Calibri" w:hAnsi="Calibri" w:cs="Calibri"/>
              </w:rPr>
            </w:pPr>
            <w:r w:rsidRPr="37146FB7">
              <w:rPr>
                <w:rFonts w:ascii="Calibri" w:eastAsia="Calibri" w:hAnsi="Calibri" w:cs="Calibri"/>
              </w:rPr>
              <w:t>Left without being seen</w:t>
            </w:r>
          </w:p>
        </w:tc>
        <w:tc>
          <w:tcPr>
            <w:tcW w:w="2938" w:type="dxa"/>
            <w:tcBorders>
              <w:top w:val="single" w:sz="8" w:space="0" w:color="auto"/>
              <w:left w:val="single" w:sz="8" w:space="0" w:color="auto"/>
              <w:bottom w:val="single" w:sz="8" w:space="0" w:color="auto"/>
              <w:right w:val="single" w:sz="8" w:space="0" w:color="auto"/>
            </w:tcBorders>
            <w:tcMar>
              <w:left w:w="108" w:type="dxa"/>
              <w:right w:w="108" w:type="dxa"/>
            </w:tcMar>
          </w:tcPr>
          <w:p w14:paraId="181B1D14" w14:textId="77777777" w:rsidR="005729C3" w:rsidRDefault="005729C3" w:rsidP="00EC5742">
            <w:pPr>
              <w:rPr>
                <w:rFonts w:ascii="Calibri" w:eastAsia="Calibri" w:hAnsi="Calibri" w:cs="Calibri"/>
              </w:rPr>
            </w:pPr>
            <w:r w:rsidRPr="37146FB7">
              <w:rPr>
                <w:rFonts w:ascii="Calibri" w:eastAsia="Calibri" w:hAnsi="Calibri" w:cs="Calibri"/>
              </w:rPr>
              <w:t>100%</w:t>
            </w:r>
          </w:p>
        </w:tc>
      </w:tr>
      <w:tr w:rsidR="005729C3" w14:paraId="4E85B1DE" w14:textId="77777777" w:rsidTr="00EC5742">
        <w:trPr>
          <w:trHeight w:val="300"/>
        </w:trPr>
        <w:tc>
          <w:tcPr>
            <w:tcW w:w="3895" w:type="dxa"/>
            <w:tcBorders>
              <w:top w:val="single" w:sz="8" w:space="0" w:color="auto"/>
              <w:left w:val="single" w:sz="8" w:space="0" w:color="auto"/>
              <w:bottom w:val="single" w:sz="8" w:space="0" w:color="auto"/>
              <w:right w:val="single" w:sz="8" w:space="0" w:color="auto"/>
            </w:tcBorders>
            <w:tcMar>
              <w:left w:w="108" w:type="dxa"/>
              <w:right w:w="108" w:type="dxa"/>
            </w:tcMar>
          </w:tcPr>
          <w:p w14:paraId="599F9253" w14:textId="77777777" w:rsidR="005729C3" w:rsidRDefault="005729C3" w:rsidP="00EC5742">
            <w:pPr>
              <w:rPr>
                <w:rFonts w:ascii="Calibri" w:eastAsia="Calibri" w:hAnsi="Calibri" w:cs="Calibri"/>
              </w:rPr>
            </w:pPr>
            <w:r w:rsidRPr="37146FB7">
              <w:rPr>
                <w:rFonts w:ascii="Calibri" w:eastAsia="Calibri" w:hAnsi="Calibri" w:cs="Calibri"/>
              </w:rPr>
              <w:t>Boarding</w:t>
            </w:r>
          </w:p>
        </w:tc>
        <w:tc>
          <w:tcPr>
            <w:tcW w:w="2938" w:type="dxa"/>
            <w:tcBorders>
              <w:top w:val="single" w:sz="8" w:space="0" w:color="auto"/>
              <w:left w:val="single" w:sz="8" w:space="0" w:color="auto"/>
              <w:bottom w:val="single" w:sz="8" w:space="0" w:color="auto"/>
              <w:right w:val="single" w:sz="8" w:space="0" w:color="auto"/>
            </w:tcBorders>
            <w:tcMar>
              <w:left w:w="108" w:type="dxa"/>
              <w:right w:w="108" w:type="dxa"/>
            </w:tcMar>
          </w:tcPr>
          <w:p w14:paraId="59BD4ED2" w14:textId="77777777" w:rsidR="005729C3" w:rsidRDefault="005729C3" w:rsidP="00EC5742">
            <w:pPr>
              <w:rPr>
                <w:rFonts w:ascii="Calibri" w:eastAsia="Calibri" w:hAnsi="Calibri" w:cs="Calibri"/>
              </w:rPr>
            </w:pPr>
            <w:r w:rsidRPr="37146FB7">
              <w:rPr>
                <w:rFonts w:ascii="Calibri" w:eastAsia="Calibri" w:hAnsi="Calibri" w:cs="Calibri"/>
              </w:rPr>
              <w:t>100%</w:t>
            </w:r>
          </w:p>
        </w:tc>
      </w:tr>
      <w:tr w:rsidR="005729C3" w14:paraId="161706AF" w14:textId="77777777" w:rsidTr="00EC5742">
        <w:trPr>
          <w:trHeight w:val="300"/>
        </w:trPr>
        <w:tc>
          <w:tcPr>
            <w:tcW w:w="3895" w:type="dxa"/>
            <w:tcBorders>
              <w:top w:val="single" w:sz="8" w:space="0" w:color="auto"/>
              <w:left w:val="single" w:sz="8" w:space="0" w:color="auto"/>
              <w:bottom w:val="single" w:sz="8" w:space="0" w:color="auto"/>
              <w:right w:val="single" w:sz="8" w:space="0" w:color="auto"/>
            </w:tcBorders>
            <w:tcMar>
              <w:left w:w="108" w:type="dxa"/>
              <w:right w:w="108" w:type="dxa"/>
            </w:tcMar>
          </w:tcPr>
          <w:p w14:paraId="7A057AD8" w14:textId="77777777" w:rsidR="005729C3" w:rsidRDefault="005729C3" w:rsidP="00EC5742">
            <w:pPr>
              <w:rPr>
                <w:rFonts w:ascii="Calibri" w:eastAsia="Calibri" w:hAnsi="Calibri" w:cs="Calibri"/>
              </w:rPr>
            </w:pPr>
            <w:r w:rsidRPr="37146FB7">
              <w:rPr>
                <w:rFonts w:ascii="Calibri" w:eastAsia="Calibri" w:hAnsi="Calibri" w:cs="Calibri"/>
              </w:rPr>
              <w:t>ED Length of Stay</w:t>
            </w:r>
          </w:p>
        </w:tc>
        <w:tc>
          <w:tcPr>
            <w:tcW w:w="2938" w:type="dxa"/>
            <w:tcBorders>
              <w:top w:val="single" w:sz="8" w:space="0" w:color="auto"/>
              <w:left w:val="single" w:sz="8" w:space="0" w:color="auto"/>
              <w:bottom w:val="single" w:sz="8" w:space="0" w:color="auto"/>
              <w:right w:val="single" w:sz="8" w:space="0" w:color="auto"/>
            </w:tcBorders>
            <w:tcMar>
              <w:left w:w="108" w:type="dxa"/>
              <w:right w:w="108" w:type="dxa"/>
            </w:tcMar>
          </w:tcPr>
          <w:p w14:paraId="3F46B192" w14:textId="77777777" w:rsidR="005729C3" w:rsidRDefault="005729C3" w:rsidP="00EC5742">
            <w:pPr>
              <w:rPr>
                <w:rFonts w:ascii="Calibri" w:eastAsia="Calibri" w:hAnsi="Calibri" w:cs="Calibri"/>
              </w:rPr>
            </w:pPr>
            <w:r w:rsidRPr="37146FB7">
              <w:rPr>
                <w:rFonts w:ascii="Calibri" w:eastAsia="Calibri" w:hAnsi="Calibri" w:cs="Calibri"/>
              </w:rPr>
              <w:t>100%</w:t>
            </w:r>
          </w:p>
        </w:tc>
      </w:tr>
      <w:tr w:rsidR="005729C3" w14:paraId="187627C1" w14:textId="77777777" w:rsidTr="00EC5742">
        <w:trPr>
          <w:trHeight w:val="300"/>
        </w:trPr>
        <w:tc>
          <w:tcPr>
            <w:tcW w:w="3895" w:type="dxa"/>
            <w:tcBorders>
              <w:top w:val="single" w:sz="8" w:space="0" w:color="auto"/>
              <w:left w:val="single" w:sz="8" w:space="0" w:color="auto"/>
              <w:bottom w:val="single" w:sz="8" w:space="0" w:color="auto"/>
              <w:right w:val="single" w:sz="8" w:space="0" w:color="auto"/>
            </w:tcBorders>
            <w:tcMar>
              <w:left w:w="108" w:type="dxa"/>
              <w:right w:w="108" w:type="dxa"/>
            </w:tcMar>
          </w:tcPr>
          <w:p w14:paraId="0C68167C" w14:textId="77777777" w:rsidR="005729C3" w:rsidRDefault="005729C3" w:rsidP="00EC5742">
            <w:pPr>
              <w:rPr>
                <w:rFonts w:ascii="Calibri" w:eastAsia="Calibri" w:hAnsi="Calibri" w:cs="Calibri"/>
              </w:rPr>
            </w:pPr>
            <w:r w:rsidRPr="37146FB7">
              <w:rPr>
                <w:rFonts w:ascii="Calibri" w:eastAsia="Calibri" w:hAnsi="Calibri" w:cs="Calibri"/>
              </w:rPr>
              <w:t>Any numerator</w:t>
            </w:r>
          </w:p>
        </w:tc>
        <w:tc>
          <w:tcPr>
            <w:tcW w:w="2938" w:type="dxa"/>
            <w:tcBorders>
              <w:top w:val="single" w:sz="8" w:space="0" w:color="auto"/>
              <w:left w:val="single" w:sz="8" w:space="0" w:color="auto"/>
              <w:bottom w:val="single" w:sz="8" w:space="0" w:color="auto"/>
              <w:right w:val="single" w:sz="8" w:space="0" w:color="auto"/>
            </w:tcBorders>
            <w:tcMar>
              <w:left w:w="108" w:type="dxa"/>
              <w:right w:w="108" w:type="dxa"/>
            </w:tcMar>
          </w:tcPr>
          <w:p w14:paraId="10333B49" w14:textId="77777777" w:rsidR="005729C3" w:rsidRDefault="005729C3" w:rsidP="00EC5742">
            <w:pPr>
              <w:rPr>
                <w:rFonts w:ascii="Calibri" w:eastAsia="Calibri" w:hAnsi="Calibri" w:cs="Calibri"/>
              </w:rPr>
            </w:pPr>
            <w:r w:rsidRPr="37146FB7">
              <w:rPr>
                <w:rFonts w:ascii="Calibri" w:eastAsia="Calibri" w:hAnsi="Calibri" w:cs="Calibri"/>
              </w:rPr>
              <w:t>99.6%</w:t>
            </w:r>
          </w:p>
        </w:tc>
      </w:tr>
      <w:bookmarkEnd w:id="31"/>
    </w:tbl>
    <w:p w14:paraId="61B7D4B6" w14:textId="77777777" w:rsidR="005729C3" w:rsidRDefault="005729C3" w:rsidP="109B55FF">
      <w:pPr>
        <w:pStyle w:val="BlueprintText"/>
      </w:pPr>
    </w:p>
    <w:p w14:paraId="2BEE6CFB" w14:textId="6B1863AF" w:rsidR="002C1B51" w:rsidRDefault="00300F1C" w:rsidP="00B52BA6">
      <w:pPr>
        <w:pStyle w:val="Heading5"/>
      </w:pPr>
      <w:r>
        <w:lastRenderedPageBreak/>
        <w:t>4.5</w:t>
      </w:r>
      <w:r w:rsidR="002C1B51">
        <w:t>.</w:t>
      </w:r>
      <w:r w:rsidR="00C42A61">
        <w:t>5</w:t>
      </w:r>
      <w:r>
        <w:tab/>
      </w:r>
      <w:r w:rsidR="002C1B51">
        <w:t xml:space="preserve">Interpretation </w:t>
      </w:r>
    </w:p>
    <w:p w14:paraId="5A6BB3F7" w14:textId="4494D831" w:rsidR="00F36381" w:rsidRPr="005879A1" w:rsidRDefault="10977EDC" w:rsidP="00F36381">
      <w:pPr>
        <w:ind w:left="-14"/>
        <w:rPr>
          <w:rFonts w:ascii="Calibri" w:eastAsia="Calibri" w:hAnsi="Calibri" w:cs="Calibri"/>
          <w:color w:val="000000" w:themeColor="text1"/>
        </w:rPr>
      </w:pPr>
      <w:r w:rsidRPr="1B174BA5">
        <w:rPr>
          <w:b/>
          <w:bCs/>
        </w:rPr>
        <w:t>Face Validity:</w:t>
      </w:r>
      <w:r>
        <w:t xml:space="preserve"> </w:t>
      </w:r>
      <w:r w:rsidR="00F36381" w:rsidRPr="76F85950">
        <w:rPr>
          <w:rFonts w:ascii="Calibri" w:eastAsia="Calibri" w:hAnsi="Calibri" w:cs="Calibri"/>
        </w:rPr>
        <w:t>There were 8 votes for strongly agree (53.3%), 3 votes for agree (20.0%), 4 votes for disagree (26.7 %), and 0 votes for strongly disagree (0.0 %)</w:t>
      </w:r>
      <w:r w:rsidR="00D70E4A">
        <w:rPr>
          <w:rFonts w:ascii="Calibri" w:eastAsia="Calibri" w:hAnsi="Calibri" w:cs="Calibri"/>
        </w:rPr>
        <w:t>, for a total of 15 TEP members</w:t>
      </w:r>
      <w:r w:rsidR="00F36381" w:rsidRPr="76F85950">
        <w:rPr>
          <w:rFonts w:ascii="Calibri" w:eastAsia="Calibri" w:hAnsi="Calibri" w:cs="Calibri"/>
        </w:rPr>
        <w:t>. At the time of the face validity vote, the measure specifications included a numerator exclusion removing transfers to another facility from calculation in component #4 ED LOS. CORE does not believe this greatly impacts the face validity; experts widely agreed upon the importance of transfers relative to the measure’s intent and importance.</w:t>
      </w:r>
    </w:p>
    <w:p w14:paraId="726B3F35" w14:textId="7C5E6C00" w:rsidR="00F36381" w:rsidRDefault="00F36381" w:rsidP="00F36381">
      <w:pPr>
        <w:ind w:left="-14"/>
        <w:rPr>
          <w:rFonts w:ascii="Calibri" w:eastAsia="Calibri" w:hAnsi="Calibri" w:cs="Calibri"/>
          <w:color w:val="000000" w:themeColor="text1"/>
        </w:rPr>
      </w:pPr>
      <w:r w:rsidRPr="35029D02">
        <w:rPr>
          <w:rFonts w:ascii="Calibri" w:eastAsia="Calibri" w:hAnsi="Calibri" w:cs="Calibri"/>
        </w:rPr>
        <w:t>73.3% of TEP members agreed that the ECCQ eCQM measure could differentiate good from poor quality of care. Members who voted in agreement noted that these metrics are correlated with patient outcomes, so it is a useful quality measure with good face va</w:t>
      </w:r>
      <w:r w:rsidR="00EB581B">
        <w:rPr>
          <w:rFonts w:ascii="Calibri" w:eastAsia="Calibri" w:hAnsi="Calibri" w:cs="Calibri"/>
        </w:rPr>
        <w:t xml:space="preserve">lidity </w:t>
      </w:r>
      <w:r w:rsidRPr="35029D02">
        <w:rPr>
          <w:rFonts w:ascii="Calibri" w:eastAsia="Calibri" w:hAnsi="Calibri" w:cs="Calibri"/>
        </w:rPr>
        <w:t>and construct validity. The measure considers various components that are proxies for access to emergency care, noting that a key tenet of emergency care is that it is timely, and this measure that can capture the data necessary to drive hospitals to improve throughput</w:t>
      </w:r>
    </w:p>
    <w:p w14:paraId="2AE5DC2A" w14:textId="39897F1F" w:rsidR="00F36381" w:rsidRDefault="00F36381" w:rsidP="00F36381">
      <w:pPr>
        <w:ind w:left="-14"/>
        <w:rPr>
          <w:rFonts w:ascii="Calibri" w:eastAsia="Calibri" w:hAnsi="Calibri" w:cs="Calibri"/>
        </w:rPr>
      </w:pPr>
      <w:r w:rsidRPr="35029D02">
        <w:rPr>
          <w:rFonts w:ascii="Calibri" w:eastAsia="Calibri" w:hAnsi="Calibri" w:cs="Calibri"/>
        </w:rPr>
        <w:t xml:space="preserve">The 26.7 % of TEP members who voted disagree or strongly disagree noted the following reasons for disagreement: </w:t>
      </w:r>
    </w:p>
    <w:p w14:paraId="24CF5F51" w14:textId="30E32091" w:rsidR="00F36381" w:rsidRDefault="00F36381" w:rsidP="00F36381">
      <w:pPr>
        <w:pStyle w:val="ListParagraph"/>
        <w:numPr>
          <w:ilvl w:val="0"/>
          <w:numId w:val="12"/>
        </w:numPr>
        <w:spacing w:after="160" w:line="279" w:lineRule="auto"/>
        <w:contextualSpacing/>
        <w:rPr>
          <w:rFonts w:eastAsia="Calibri" w:cs="Calibri"/>
        </w:rPr>
      </w:pPr>
      <w:r w:rsidRPr="5EB58AE4">
        <w:rPr>
          <w:rFonts w:eastAsia="Calibri" w:cs="Calibri"/>
        </w:rPr>
        <w:t>They disagreed that the measure could differentiate good from poor quality of care based on the boarding and ED length of stay threshold, as the factors driving those are not exclusively within the facilities’ control.</w:t>
      </w:r>
    </w:p>
    <w:p w14:paraId="070C532B" w14:textId="77777777" w:rsidR="00F36381" w:rsidRDefault="00F36381" w:rsidP="00F36381">
      <w:pPr>
        <w:pStyle w:val="ListParagraph"/>
        <w:numPr>
          <w:ilvl w:val="0"/>
          <w:numId w:val="12"/>
        </w:numPr>
        <w:spacing w:after="160" w:line="279" w:lineRule="auto"/>
        <w:contextualSpacing/>
        <w:rPr>
          <w:rFonts w:eastAsia="Calibri" w:cs="Calibri"/>
        </w:rPr>
      </w:pPr>
      <w:r w:rsidRPr="35029D02">
        <w:rPr>
          <w:rFonts w:eastAsia="Calibri" w:cs="Calibri"/>
        </w:rPr>
        <w:t>They disagreed in the definition of how a private treatment space is being defined and recorded.</w:t>
      </w:r>
    </w:p>
    <w:p w14:paraId="3BAE5B72" w14:textId="2EBE63D9" w:rsidR="00F36381" w:rsidRPr="005879A1" w:rsidRDefault="00F36381" w:rsidP="00F36381">
      <w:pPr>
        <w:pStyle w:val="ListParagraph"/>
        <w:numPr>
          <w:ilvl w:val="0"/>
          <w:numId w:val="12"/>
        </w:numPr>
        <w:spacing w:after="160" w:line="279" w:lineRule="auto"/>
        <w:contextualSpacing/>
        <w:rPr>
          <w:rFonts w:eastAsia="Calibri" w:cs="Calibri"/>
        </w:rPr>
      </w:pPr>
      <w:r w:rsidRPr="5EB58AE4">
        <w:rPr>
          <w:rFonts w:eastAsia="Calibri" w:cs="Calibri"/>
        </w:rPr>
        <w:t>They noted the measure is of time, organizational capacity, and efficiency but not quality of care.</w:t>
      </w:r>
    </w:p>
    <w:p w14:paraId="752CDF1E" w14:textId="229341EB" w:rsidR="00F36381" w:rsidRDefault="00F36381" w:rsidP="00F36381">
      <w:pPr>
        <w:pStyle w:val="ListParagraph"/>
        <w:numPr>
          <w:ilvl w:val="0"/>
          <w:numId w:val="12"/>
        </w:numPr>
        <w:spacing w:after="160" w:line="279" w:lineRule="auto"/>
        <w:contextualSpacing/>
        <w:rPr>
          <w:rFonts w:eastAsia="Calibri" w:cs="Calibri"/>
        </w:rPr>
      </w:pPr>
      <w:r w:rsidRPr="5EB58AE4">
        <w:rPr>
          <w:rFonts w:eastAsia="Calibri" w:cs="Calibri"/>
        </w:rPr>
        <w:t>Another member disagreed because the measure does not adjust for trauma levels designated to hospitals.</w:t>
      </w:r>
    </w:p>
    <w:p w14:paraId="058687BA" w14:textId="77777777" w:rsidR="00275B09" w:rsidRDefault="00275B09" w:rsidP="00F36381">
      <w:pPr>
        <w:spacing w:line="279" w:lineRule="auto"/>
        <w:ind w:left="-14"/>
      </w:pPr>
      <w:r w:rsidRPr="1B174BA5">
        <w:rPr>
          <w:b/>
          <w:bCs/>
        </w:rPr>
        <w:t>Construct Validity:</w:t>
      </w:r>
      <w:r>
        <w:t xml:space="preserve"> As anticipated, a negative correlation with each of the Star Ratings components was seen. ECCQ eCQM inversely correlated with multiple measures of hospital quality, as would be conceptually expected; hospitals that performed well on Star Ratings also performed well on ECCQ eCQM, lending validity to the novel ECCQ eCQM. Noting the analysis compared the non-volume adjusted rates.</w:t>
      </w:r>
      <w:bookmarkStart w:id="34" w:name="table11"/>
      <w:bookmarkEnd w:id="34"/>
    </w:p>
    <w:p w14:paraId="54986649" w14:textId="004F9D31" w:rsidR="6F76F4DB" w:rsidRDefault="6F76F4DB" w:rsidP="1B174BA5">
      <w:pPr>
        <w:rPr>
          <w:b/>
          <w:bCs/>
        </w:rPr>
      </w:pPr>
      <w:r w:rsidRPr="1B174BA5">
        <w:rPr>
          <w:b/>
          <w:bCs/>
        </w:rPr>
        <w:t>Data Element Validity:</w:t>
      </w:r>
    </w:p>
    <w:p w14:paraId="09ACBDCA" w14:textId="77777777" w:rsidR="005729C3" w:rsidRDefault="005729C3" w:rsidP="005729C3">
      <w:pPr>
        <w:spacing w:line="257" w:lineRule="auto"/>
        <w:rPr>
          <w:rFonts w:ascii="Calibri" w:eastAsia="Calibri" w:hAnsi="Calibri" w:cs="Calibri"/>
        </w:rPr>
      </w:pPr>
      <w:bookmarkStart w:id="35" w:name="_Hlk174112922"/>
      <w:r w:rsidRPr="3480AADB">
        <w:rPr>
          <w:rFonts w:ascii="Calibri" w:eastAsia="Calibri" w:hAnsi="Calibri" w:cs="Calibri"/>
        </w:rPr>
        <w:t>Data element validity requires high rates of data capture and low rates of missing data, and this analysis of validity supports that this ECCQ eCQM specification relies on available electronic time stamps that are routinely present in clinical notes and therefore the measure is best suited for electronic capture.</w:t>
      </w:r>
    </w:p>
    <w:p w14:paraId="5839ECD9" w14:textId="780F670C" w:rsidR="005729C3" w:rsidRPr="005729C3" w:rsidRDefault="005729C3" w:rsidP="005729C3">
      <w:pPr>
        <w:spacing w:line="257" w:lineRule="auto"/>
        <w:rPr>
          <w:rFonts w:ascii="Calibri" w:eastAsia="Calibri" w:hAnsi="Calibri" w:cs="Calibri"/>
        </w:rPr>
      </w:pPr>
      <w:r w:rsidRPr="37146FB7">
        <w:rPr>
          <w:rFonts w:ascii="Calibri" w:eastAsia="Calibri" w:hAnsi="Calibri" w:cs="Calibri"/>
        </w:rPr>
        <w:t>All available evidence indicates that data element reliability is high within one health system which supports the validity of this ECCQ eCQM; further testing may be required to demonstrate reliability and validity across more health systems.</w:t>
      </w:r>
    </w:p>
    <w:bookmarkEnd w:id="35"/>
    <w:p w14:paraId="4DCB4603" w14:textId="2CFDC9B7" w:rsidR="002C1B51" w:rsidRDefault="00300F1C" w:rsidP="00B52BA6">
      <w:pPr>
        <w:pStyle w:val="Heading4"/>
      </w:pPr>
      <w:r>
        <w:t>4.6</w:t>
      </w:r>
      <w:r>
        <w:tab/>
      </w:r>
      <w:r w:rsidR="002C1B51">
        <w:t xml:space="preserve">Exclusions Analysis (for reference only) </w:t>
      </w:r>
    </w:p>
    <w:p w14:paraId="345D6818" w14:textId="16658120" w:rsidR="002C1B51" w:rsidRDefault="00C0718C" w:rsidP="00B52BA6">
      <w:pPr>
        <w:pStyle w:val="Heading5"/>
      </w:pPr>
      <w:r>
        <w:t>4.6</w:t>
      </w:r>
      <w:r w:rsidR="002C1B51">
        <w:t>.1</w:t>
      </w:r>
      <w:r>
        <w:tab/>
      </w:r>
      <w:r w:rsidR="002C1B51">
        <w:t xml:space="preserve">Method of Testing Exclusions </w:t>
      </w:r>
    </w:p>
    <w:p w14:paraId="3843BFEA" w14:textId="77777777" w:rsidR="00E0170B" w:rsidRDefault="00E0170B" w:rsidP="00E0170B">
      <w:pPr>
        <w:pStyle w:val="BlueprintText"/>
      </w:pPr>
      <w:r>
        <w:lastRenderedPageBreak/>
        <w:t>Not applicable (the measure has no denominator exclusions).</w:t>
      </w:r>
    </w:p>
    <w:p w14:paraId="0921146A" w14:textId="056D0DED" w:rsidR="002C1B51" w:rsidRPr="00891D87" w:rsidRDefault="00C0718C" w:rsidP="00B52BA6">
      <w:pPr>
        <w:pStyle w:val="Heading5"/>
      </w:pPr>
      <w:r>
        <w:t>4.6</w:t>
      </w:r>
      <w:r w:rsidR="002C1B51">
        <w:t>.2</w:t>
      </w:r>
      <w:r>
        <w:tab/>
      </w:r>
      <w:r w:rsidR="002C1B51">
        <w:t xml:space="preserve">Statistical Results from Testing Exclusions </w:t>
      </w:r>
    </w:p>
    <w:p w14:paraId="1764A309" w14:textId="77777777" w:rsidR="00E0170B" w:rsidRDefault="00E0170B" w:rsidP="00E0170B">
      <w:pPr>
        <w:pStyle w:val="BlueprintText"/>
      </w:pPr>
      <w:r>
        <w:t>Not applicable (the measure has no denominator exclusions).</w:t>
      </w:r>
    </w:p>
    <w:p w14:paraId="34C8B1B8" w14:textId="65617060" w:rsidR="002C1B51" w:rsidRDefault="00C0718C" w:rsidP="00B52BA6">
      <w:pPr>
        <w:pStyle w:val="Heading5"/>
      </w:pPr>
      <w:r>
        <w:t>4.6</w:t>
      </w:r>
      <w:r w:rsidR="002C1B51">
        <w:t>.3</w:t>
      </w:r>
      <w:r>
        <w:tab/>
      </w:r>
      <w:r w:rsidR="002C1B51">
        <w:t xml:space="preserve">Interpretation </w:t>
      </w:r>
    </w:p>
    <w:p w14:paraId="4425FE6D" w14:textId="77777777" w:rsidR="00E0170B" w:rsidRDefault="00E0170B" w:rsidP="00E0170B">
      <w:pPr>
        <w:pStyle w:val="BlueprintText"/>
      </w:pPr>
      <w:r>
        <w:t>Not applicable (the measure has no denominator exclusions).</w:t>
      </w:r>
    </w:p>
    <w:p w14:paraId="262D7B6F" w14:textId="5139F77E" w:rsidR="002C1B51" w:rsidRPr="009673C3" w:rsidRDefault="00C0718C" w:rsidP="00B52BA6">
      <w:pPr>
        <w:pStyle w:val="Heading4"/>
      </w:pPr>
      <w:r>
        <w:t>4.7</w:t>
      </w:r>
      <w:r>
        <w:tab/>
      </w:r>
      <w:r w:rsidR="002C1B51">
        <w:t xml:space="preserve">Risk Adjustment or Stratification for Outcome or Resource Use Measures (for reference only) </w:t>
      </w:r>
    </w:p>
    <w:p w14:paraId="63F64121" w14:textId="46861257" w:rsidR="002C1B51" w:rsidRDefault="00C0718C" w:rsidP="00B52BA6">
      <w:pPr>
        <w:pStyle w:val="Heading5"/>
      </w:pPr>
      <w:r>
        <w:t>4.7</w:t>
      </w:r>
      <w:r w:rsidR="002C1B51">
        <w:t>.1</w:t>
      </w:r>
      <w:r w:rsidR="002C1B51">
        <w:tab/>
        <w:t xml:space="preserve">Method of Controlling for Differences </w:t>
      </w:r>
    </w:p>
    <w:p w14:paraId="6D7DD1EA" w14:textId="53B87BE9" w:rsidR="00B1217C" w:rsidRDefault="00C611D4" w:rsidP="002C1B51">
      <w:pPr>
        <w:pStyle w:val="BlueprintText"/>
      </w:pPr>
      <w:bookmarkStart w:id="36" w:name="_Hlk140587078"/>
      <w:bookmarkStart w:id="37" w:name="_Hlk140574905"/>
      <w:r>
        <w:t xml:space="preserve">The </w:t>
      </w:r>
      <w:r w:rsidR="002C1B51">
        <w:t xml:space="preserve">method of controlling for differences in case mix </w:t>
      </w:r>
      <w:bookmarkEnd w:id="36"/>
      <w:r w:rsidR="002C1B51">
        <w:t xml:space="preserve">is </w:t>
      </w:r>
    </w:p>
    <w:bookmarkStart w:id="38" w:name="_Hlk140574941"/>
    <w:bookmarkEnd w:id="37"/>
    <w:p w14:paraId="61265BA3" w14:textId="1B9547A7" w:rsidR="002C1B51" w:rsidRPr="00C15AEA" w:rsidRDefault="00D95B04" w:rsidP="00A4036D">
      <w:pPr>
        <w:pStyle w:val="ListBullet"/>
        <w:numPr>
          <w:ilvl w:val="0"/>
          <w:numId w:val="0"/>
        </w:numPr>
        <w:ind w:left="360"/>
      </w:pPr>
      <w:sdt>
        <w:sdtPr>
          <w:rPr>
            <w:rFonts w:ascii="MS Gothic" w:eastAsia="MS Gothic" w:hAnsi="MS Gothic"/>
          </w:rPr>
          <w:id w:val="-378710026"/>
          <w14:checkbox>
            <w14:checked w14:val="0"/>
            <w14:checkedState w14:val="2612" w14:font="MS Gothic"/>
            <w14:uncheckedState w14:val="2610" w14:font="MS Gothic"/>
          </w14:checkbox>
        </w:sdtPr>
        <w:sdtEndPr/>
        <w:sdtContent>
          <w:r w:rsidR="27EC3803" w:rsidRPr="00C15AEA">
            <w:rPr>
              <w:rFonts w:ascii="MS Gothic" w:eastAsia="MS Gothic" w:hAnsi="MS Gothic" w:cs="MS Gothic"/>
            </w:rPr>
            <w:t>☐</w:t>
          </w:r>
        </w:sdtContent>
      </w:sdt>
      <w:r w:rsidR="002C1695" w:rsidRPr="00C15AEA">
        <w:t>n</w:t>
      </w:r>
      <w:r w:rsidR="002C1B51" w:rsidRPr="00C15AEA">
        <w:t>o risk adjustment or stratification</w:t>
      </w:r>
    </w:p>
    <w:p w14:paraId="179677C6" w14:textId="1094F552" w:rsidR="002C1B51" w:rsidRDefault="6FADE935" w:rsidP="109B55FF">
      <w:pPr>
        <w:pStyle w:val="ListBullet"/>
        <w:ind w:left="360"/>
      </w:pPr>
      <w:r w:rsidRPr="109B55FF">
        <w:rPr>
          <w:rFonts w:ascii="Segoe UI Symbol" w:hAnsi="Segoe UI Symbol" w:cs="Segoe UI Symbol"/>
        </w:rPr>
        <w:t>☐</w:t>
      </w:r>
      <w:r>
        <w:t xml:space="preserve"> </w:t>
      </w:r>
      <w:r w:rsidR="002C1695">
        <w:t>s</w:t>
      </w:r>
      <w:r w:rsidR="002C1B51">
        <w:t>tatistical risk model with (specify number) risk factors</w:t>
      </w:r>
    </w:p>
    <w:p w14:paraId="027DAE91" w14:textId="67C4DB47" w:rsidR="002C1B51" w:rsidRPr="00C15AEA" w:rsidRDefault="00D95B04" w:rsidP="109B55FF">
      <w:pPr>
        <w:pStyle w:val="ListBullet"/>
        <w:ind w:left="360"/>
      </w:pPr>
      <w:sdt>
        <w:sdtPr>
          <w:rPr>
            <w:rFonts w:ascii="MS Gothic" w:eastAsia="MS Gothic" w:hAnsi="MS Gothic"/>
            <w:b/>
            <w:bCs/>
          </w:rPr>
          <w:id w:val="641762851"/>
          <w14:checkbox>
            <w14:checked w14:val="1"/>
            <w14:checkedState w14:val="2612" w14:font="MS Gothic"/>
            <w14:uncheckedState w14:val="2610" w14:font="MS Gothic"/>
          </w14:checkbox>
        </w:sdtPr>
        <w:sdtEndPr/>
        <w:sdtContent>
          <w:r w:rsidR="458108DB" w:rsidRPr="00C15AEA">
            <w:rPr>
              <w:rFonts w:ascii="MS Gothic" w:eastAsia="MS Gothic" w:hAnsi="MS Gothic" w:cs="MS Gothic"/>
              <w:b/>
              <w:bCs/>
            </w:rPr>
            <w:t>☒</w:t>
          </w:r>
        </w:sdtContent>
      </w:sdt>
      <w:r w:rsidR="002C1695" w:rsidRPr="00C15AEA">
        <w:rPr>
          <w:b/>
          <w:bCs/>
        </w:rPr>
        <w:t>s</w:t>
      </w:r>
      <w:r w:rsidR="002C1B51" w:rsidRPr="00C15AEA">
        <w:rPr>
          <w:b/>
          <w:bCs/>
        </w:rPr>
        <w:t>tratification by (</w:t>
      </w:r>
      <w:r w:rsidR="00604834">
        <w:rPr>
          <w:b/>
          <w:bCs/>
        </w:rPr>
        <w:t>2</w:t>
      </w:r>
      <w:r w:rsidR="002C1B51" w:rsidRPr="00C15AEA">
        <w:rPr>
          <w:b/>
          <w:bCs/>
        </w:rPr>
        <w:t>) risk categories</w:t>
      </w:r>
    </w:p>
    <w:p w14:paraId="2A9E96AB" w14:textId="616D5C80" w:rsidR="002C1B51" w:rsidRDefault="00A4036D" w:rsidP="00A4036D">
      <w:pPr>
        <w:pStyle w:val="ListBullet"/>
        <w:numPr>
          <w:ilvl w:val="0"/>
          <w:numId w:val="0"/>
        </w:numPr>
        <w:ind w:left="360"/>
      </w:pPr>
      <w:r>
        <w:rPr>
          <w:rFonts w:ascii="MS Gothic" w:eastAsia="MS Gothic" w:hAnsi="MS Gothic" w:hint="eastAsia"/>
        </w:rPr>
        <w:t>☐</w:t>
      </w:r>
      <w:r w:rsidR="002C1695">
        <w:t>o</w:t>
      </w:r>
      <w:r w:rsidR="002C1B51">
        <w:t>ther (</w:t>
      </w:r>
      <w:r w:rsidR="0046641F">
        <w:t>specify</w:t>
      </w:r>
      <w:r w:rsidR="002C1B51">
        <w:t>)</w:t>
      </w:r>
      <w:r w:rsidR="006F778C" w:rsidRPr="00A4036D">
        <w:t xml:space="preserve"> </w:t>
      </w:r>
      <w:sdt>
        <w:sdtPr>
          <w:id w:val="-1813254130"/>
          <w:placeholder>
            <w:docPart w:val="65888A68E18248ADA2115A91DFE0CB68"/>
          </w:placeholder>
          <w:showingPlcHdr/>
          <w:text/>
        </w:sdtPr>
        <w:sdtEndPr/>
        <w:sdtContent>
          <w:r w:rsidR="006F778C" w:rsidRPr="00925580">
            <w:rPr>
              <w:u w:val="single"/>
            </w:rPr>
            <w:t>Click or tap here to enter text.</w:t>
          </w:r>
        </w:sdtContent>
      </w:sdt>
    </w:p>
    <w:bookmarkEnd w:id="38"/>
    <w:p w14:paraId="6D73FC29" w14:textId="3210C889" w:rsidR="002C1B51" w:rsidRDefault="00C0718C" w:rsidP="00B52BA6">
      <w:pPr>
        <w:pStyle w:val="Heading5"/>
      </w:pPr>
      <w:r>
        <w:t>4.7</w:t>
      </w:r>
      <w:r w:rsidR="002C1B51">
        <w:t>.2</w:t>
      </w:r>
      <w:r>
        <w:tab/>
      </w:r>
      <w:r w:rsidR="002C1B51">
        <w:t xml:space="preserve">Rationale </w:t>
      </w:r>
      <w:r w:rsidR="00C611D4">
        <w:t xml:space="preserve">for </w:t>
      </w:r>
      <w:r w:rsidR="002C1B51">
        <w:t xml:space="preserve">Why </w:t>
      </w:r>
      <w:r w:rsidR="00C611D4">
        <w:t xml:space="preserve">There Is No Need for </w:t>
      </w:r>
      <w:r w:rsidR="002C1B51">
        <w:t xml:space="preserve">Risk Adjustment </w:t>
      </w:r>
    </w:p>
    <w:p w14:paraId="4BA148C2" w14:textId="300EB5DE" w:rsidR="207D6E25" w:rsidRDefault="207D6E25" w:rsidP="1B174BA5">
      <w:pPr>
        <w:pStyle w:val="BlueprintText"/>
        <w:tabs>
          <w:tab w:val="left" w:pos="630"/>
        </w:tabs>
      </w:pPr>
      <w:r>
        <w:t xml:space="preserve">The approach to stratification by age and principal diagnosis of a mental health </w:t>
      </w:r>
      <w:r w:rsidR="00BB3C4E">
        <w:t>diagnosis</w:t>
      </w:r>
      <w:r>
        <w:t>, as well as volume standardizing the measure performance scores in annual ED visit volume bands of 20,000 visits is suffi</w:t>
      </w:r>
      <w:r w:rsidR="2E82CFE6">
        <w:t>cient to account for differences between facilities without further need for risk adjustment.</w:t>
      </w:r>
    </w:p>
    <w:p w14:paraId="58E5B459" w14:textId="368341C8" w:rsidR="002C1B51" w:rsidRDefault="00C0718C" w:rsidP="00B52BA6">
      <w:pPr>
        <w:pStyle w:val="Heading5"/>
      </w:pPr>
      <w:r>
        <w:t>4.7</w:t>
      </w:r>
      <w:r w:rsidR="002C1B51">
        <w:t>.3</w:t>
      </w:r>
      <w:r>
        <w:tab/>
      </w:r>
      <w:bookmarkStart w:id="39" w:name="_Hlk140575816"/>
      <w:r w:rsidR="002C1B51">
        <w:t>Conceptual, Clinical, and Statistical Methods</w:t>
      </w:r>
      <w:r w:rsidR="00F41DF4">
        <w:t>/Model</w:t>
      </w:r>
      <w:r w:rsidR="002C1B51">
        <w:t xml:space="preserve"> </w:t>
      </w:r>
      <w:bookmarkEnd w:id="39"/>
    </w:p>
    <w:p w14:paraId="7F44AA45" w14:textId="4DD11550" w:rsidR="002C1B51" w:rsidRDefault="476A3B04" w:rsidP="005D3DE1">
      <w:bookmarkStart w:id="40" w:name="_Hlk140575767"/>
      <w:bookmarkStart w:id="41" w:name="_Hlk504302173"/>
      <w:r>
        <w:t>Total score and f</w:t>
      </w:r>
      <w:r w:rsidR="00DB61C3">
        <w:t>our cohorts of the measure will be calculated, stratified by age and mental health visits.</w:t>
      </w:r>
      <w:r w:rsidR="3EEF3E3D">
        <w:t xml:space="preserve"> Additional stratification by social risk factors to address equity may be considered in the future.</w:t>
      </w:r>
    </w:p>
    <w:p w14:paraId="7D48F6E8" w14:textId="7C29D70D" w:rsidR="00DB61C3" w:rsidRDefault="00DB61C3" w:rsidP="005D3DE1">
      <w:pPr>
        <w:rPr>
          <w:rFonts w:ascii="Calibri" w:eastAsia="Calibri" w:hAnsi="Calibri" w:cs="Calibri"/>
          <w:color w:val="000000" w:themeColor="text1"/>
        </w:rPr>
      </w:pPr>
      <w:r w:rsidRPr="1B174BA5">
        <w:rPr>
          <w:rFonts w:ascii="Calibri" w:eastAsia="Calibri" w:hAnsi="Calibri" w:cs="Calibri"/>
          <w:color w:val="000000" w:themeColor="text1"/>
        </w:rPr>
        <w:t xml:space="preserve">A history of mental health </w:t>
      </w:r>
      <w:r w:rsidR="00BB3C4E">
        <w:rPr>
          <w:rFonts w:ascii="Calibri" w:eastAsia="Calibri" w:hAnsi="Calibri" w:cs="Calibri"/>
          <w:color w:val="000000" w:themeColor="text1"/>
        </w:rPr>
        <w:t>diagnoses</w:t>
      </w:r>
      <w:r w:rsidRPr="1B174BA5">
        <w:rPr>
          <w:rFonts w:ascii="Calibri" w:eastAsia="Calibri" w:hAnsi="Calibri" w:cs="Calibri"/>
          <w:color w:val="000000" w:themeColor="text1"/>
        </w:rPr>
        <w:t xml:space="preserve"> </w:t>
      </w:r>
      <w:r w:rsidR="00F41AE1">
        <w:rPr>
          <w:rFonts w:ascii="Calibri" w:eastAsia="Calibri" w:hAnsi="Calibri" w:cs="Calibri"/>
          <w:color w:val="000000" w:themeColor="text1"/>
        </w:rPr>
        <w:t>does</w:t>
      </w:r>
      <w:r w:rsidRPr="1B174BA5">
        <w:rPr>
          <w:rFonts w:ascii="Calibri" w:eastAsia="Calibri" w:hAnsi="Calibri" w:cs="Calibri"/>
          <w:color w:val="000000" w:themeColor="text1"/>
        </w:rPr>
        <w:t xml:space="preserve"> not automatically exclude or include patients in the strata; the principal diagnosis defines inclusion in the appropriate strata. </w:t>
      </w:r>
      <w:r w:rsidR="05F26EEC" w:rsidRPr="1B174BA5">
        <w:rPr>
          <w:rFonts w:ascii="Calibri" w:eastAsia="Calibri" w:hAnsi="Calibri" w:cs="Calibri"/>
          <w:color w:val="000000" w:themeColor="text1"/>
        </w:rPr>
        <w:t xml:space="preserve">For this measure's purposes, mental health </w:t>
      </w:r>
      <w:r w:rsidR="00BB3C4E">
        <w:rPr>
          <w:rFonts w:ascii="Calibri" w:eastAsia="Calibri" w:hAnsi="Calibri" w:cs="Calibri"/>
          <w:color w:val="000000" w:themeColor="text1"/>
        </w:rPr>
        <w:t>diagnoses</w:t>
      </w:r>
      <w:r w:rsidR="05F26EEC" w:rsidRPr="1B174BA5">
        <w:rPr>
          <w:rFonts w:ascii="Calibri" w:eastAsia="Calibri" w:hAnsi="Calibri" w:cs="Calibri"/>
          <w:color w:val="000000" w:themeColor="text1"/>
        </w:rPr>
        <w:t xml:space="preserve"> do not include substance use disorders.</w:t>
      </w:r>
    </w:p>
    <w:p w14:paraId="5CECEF0F" w14:textId="057E3DDC" w:rsidR="00DB61C3" w:rsidRDefault="00DB61C3" w:rsidP="005D3DE1">
      <w:r>
        <w:t xml:space="preserve">Stratification by age will be reported for patients less than 18 years of age and patients 18 years of age and older, for both mental health and non-mental health cohorts. </w:t>
      </w:r>
    </w:p>
    <w:p w14:paraId="71875E51" w14:textId="77777777" w:rsidR="00DB61C3" w:rsidRDefault="00DB61C3" w:rsidP="005D3DE1">
      <w:r>
        <w:t>Total score and score for the following strata will be reported:</w:t>
      </w:r>
    </w:p>
    <w:p w14:paraId="713A40DC" w14:textId="7BD0F923" w:rsidR="00DB61C3" w:rsidRDefault="00DB61C3" w:rsidP="005D3DE1">
      <w:r w:rsidRPr="00A236E0">
        <w:rPr>
          <w:u w:val="single"/>
        </w:rPr>
        <w:t>Stratification 1</w:t>
      </w:r>
      <w:r>
        <w:t xml:space="preserve">: all patients aged less than 18 years seen in the ED who do not have an ED encounter principal diagnosis consistent with psychiatric/mental health </w:t>
      </w:r>
      <w:r w:rsidR="004A4D4A">
        <w:t>visits</w:t>
      </w:r>
      <w:r>
        <w:t xml:space="preserve">. Patients who have an ED encounter principal diagnosis consistent with substance use disorders will be included in this stratification. </w:t>
      </w:r>
    </w:p>
    <w:p w14:paraId="62D72670" w14:textId="0FF24E50" w:rsidR="00DB61C3" w:rsidRDefault="00DB61C3" w:rsidP="005D3DE1">
      <w:r w:rsidRPr="00A236E0">
        <w:rPr>
          <w:u w:val="single"/>
        </w:rPr>
        <w:t>Stratification 2</w:t>
      </w:r>
      <w:r>
        <w:t xml:space="preserve">: all patients aged 18 years and older seen in the ED who do not have an ED encounter principal diagnosis consistent with psychiatric/mental health </w:t>
      </w:r>
      <w:r w:rsidR="003D6912">
        <w:t>visits</w:t>
      </w:r>
      <w:r>
        <w:t xml:space="preserve">. Patients who have an ED encounter principal diagnosis consistent with substance use disorders will be included in this stratification. </w:t>
      </w:r>
    </w:p>
    <w:p w14:paraId="72EA93E4" w14:textId="680CD44D" w:rsidR="00DB61C3" w:rsidRDefault="00DB61C3" w:rsidP="005D3DE1">
      <w:r w:rsidRPr="00A236E0">
        <w:rPr>
          <w:u w:val="single"/>
        </w:rPr>
        <w:t>Stratification 3</w:t>
      </w:r>
      <w:r>
        <w:t>: all patients aged less than 18 years seen in the ED who have an ED encounter principal diagnosis consistent with</w:t>
      </w:r>
      <w:r w:rsidR="003C4C42">
        <w:t xml:space="preserve"> a</w:t>
      </w:r>
      <w:r>
        <w:t xml:space="preserve"> psychiatric/mental health </w:t>
      </w:r>
      <w:r w:rsidR="003D6912">
        <w:t>visit</w:t>
      </w:r>
      <w:r>
        <w:t xml:space="preserve">. </w:t>
      </w:r>
    </w:p>
    <w:p w14:paraId="52B6BD37" w14:textId="03E0BACC" w:rsidR="00DB61C3" w:rsidRDefault="00DB61C3" w:rsidP="005D3DE1">
      <w:r w:rsidRPr="00A236E0">
        <w:rPr>
          <w:u w:val="single"/>
        </w:rPr>
        <w:t>Stratification 4</w:t>
      </w:r>
      <w:r>
        <w:t xml:space="preserve">: all patients aged 18 years and older seen in the ED who have an ED encounter principal diagnosis consistent with </w:t>
      </w:r>
      <w:r w:rsidR="003C4C42">
        <w:t xml:space="preserve">a </w:t>
      </w:r>
      <w:r>
        <w:t xml:space="preserve">psychiatric/mental health </w:t>
      </w:r>
      <w:r w:rsidR="003C4C42">
        <w:t>visit</w:t>
      </w:r>
      <w:r>
        <w:t xml:space="preserve">. </w:t>
      </w:r>
    </w:p>
    <w:bookmarkEnd w:id="40"/>
    <w:bookmarkEnd w:id="41"/>
    <w:p w14:paraId="08452782" w14:textId="24E0573B" w:rsidR="002C1B51" w:rsidRDefault="00C0718C" w:rsidP="00B52BA6">
      <w:pPr>
        <w:pStyle w:val="Heading5"/>
      </w:pPr>
      <w:r>
        <w:lastRenderedPageBreak/>
        <w:t>4.7</w:t>
      </w:r>
      <w:r w:rsidR="002C1B51">
        <w:t>.4</w:t>
      </w:r>
      <w:r w:rsidR="002C1B51">
        <w:tab/>
        <w:t xml:space="preserve">Conceptual Model of Impact of Social </w:t>
      </w:r>
      <w:r w:rsidR="00303507">
        <w:t xml:space="preserve">and Functional </w:t>
      </w:r>
      <w:r w:rsidR="002C1B51">
        <w:t>Risks</w:t>
      </w:r>
      <w:r w:rsidR="00303507">
        <w:t xml:space="preserve"> </w:t>
      </w:r>
    </w:p>
    <w:p w14:paraId="637DCC25" w14:textId="476ED46E" w:rsidR="002C1B51" w:rsidRDefault="00BB360C" w:rsidP="00A4036D">
      <w:pPr>
        <w:pStyle w:val="ListBullet"/>
        <w:numPr>
          <w:ilvl w:val="0"/>
          <w:numId w:val="0"/>
        </w:numPr>
        <w:ind w:left="360"/>
      </w:pPr>
      <w:bookmarkStart w:id="42" w:name="_Hlk140587344"/>
      <w:r w:rsidRPr="00A4036D">
        <w:rPr>
          <w:rFonts w:ascii="Segoe UI Symbol" w:hAnsi="Segoe UI Symbol" w:cs="Segoe UI Symbol"/>
        </w:rPr>
        <w:t>☐</w:t>
      </w:r>
      <w:r w:rsidR="002C1695">
        <w:t>p</w:t>
      </w:r>
      <w:r w:rsidR="002C1B51">
        <w:t>ublished literature</w:t>
      </w:r>
    </w:p>
    <w:p w14:paraId="6C0D925D" w14:textId="364EF0DD" w:rsidR="002C1B51" w:rsidRDefault="00BB360C" w:rsidP="00A4036D">
      <w:pPr>
        <w:pStyle w:val="ListBullet"/>
        <w:numPr>
          <w:ilvl w:val="0"/>
          <w:numId w:val="0"/>
        </w:numPr>
        <w:ind w:left="360"/>
      </w:pPr>
      <w:r w:rsidRPr="00A4036D">
        <w:rPr>
          <w:rFonts w:ascii="Segoe UI Symbol" w:hAnsi="Segoe UI Symbol" w:cs="Segoe UI Symbol"/>
        </w:rPr>
        <w:t>☐</w:t>
      </w:r>
      <w:r w:rsidR="002C1695">
        <w:t>i</w:t>
      </w:r>
      <w:r w:rsidR="002C1B51">
        <w:t>nternal data analysis</w:t>
      </w:r>
    </w:p>
    <w:p w14:paraId="5FB4DB57" w14:textId="6A2BDBDE" w:rsidR="002C1B51" w:rsidRPr="00540FAD" w:rsidRDefault="00D95B04" w:rsidP="00A4036D">
      <w:pPr>
        <w:pStyle w:val="ListBullet"/>
        <w:numPr>
          <w:ilvl w:val="0"/>
          <w:numId w:val="0"/>
        </w:numPr>
        <w:ind w:left="360"/>
        <w:rPr>
          <w:b/>
          <w:bCs/>
        </w:rPr>
      </w:pPr>
      <w:sdt>
        <w:sdtPr>
          <w:rPr>
            <w:rFonts w:ascii="Segoe UI Symbol" w:hAnsi="Segoe UI Symbol" w:cs="Segoe UI Symbol"/>
            <w:b/>
            <w:bCs/>
          </w:rPr>
          <w:id w:val="1045409699"/>
          <w14:checkbox>
            <w14:checked w14:val="1"/>
            <w14:checkedState w14:val="2612" w14:font="MS Gothic"/>
            <w14:uncheckedState w14:val="2610" w14:font="MS Gothic"/>
          </w14:checkbox>
        </w:sdtPr>
        <w:sdtEndPr/>
        <w:sdtContent>
          <w:r w:rsidR="00A755C6" w:rsidRPr="00540FAD">
            <w:rPr>
              <w:rFonts w:ascii="MS Gothic" w:eastAsia="MS Gothic" w:hAnsi="MS Gothic" w:cs="Segoe UI Symbol" w:hint="eastAsia"/>
              <w:b/>
              <w:bCs/>
            </w:rPr>
            <w:t>☒</w:t>
          </w:r>
        </w:sdtContent>
      </w:sdt>
      <w:r w:rsidR="002C1695" w:rsidRPr="00540FAD">
        <w:rPr>
          <w:b/>
          <w:bCs/>
        </w:rPr>
        <w:t>o</w:t>
      </w:r>
      <w:r w:rsidR="002C1B51" w:rsidRPr="00540FAD">
        <w:rPr>
          <w:b/>
          <w:bCs/>
        </w:rPr>
        <w:t>ther (</w:t>
      </w:r>
      <w:r w:rsidR="0046641F" w:rsidRPr="00540FAD">
        <w:rPr>
          <w:b/>
          <w:bCs/>
        </w:rPr>
        <w:t>specify</w:t>
      </w:r>
      <w:r w:rsidR="002C1B51" w:rsidRPr="00540FAD">
        <w:rPr>
          <w:b/>
          <w:bCs/>
        </w:rPr>
        <w:t>)</w:t>
      </w:r>
      <w:r w:rsidR="006F778C" w:rsidRPr="00540FAD">
        <w:rPr>
          <w:b/>
          <w:bCs/>
        </w:rPr>
        <w:t xml:space="preserve"> </w:t>
      </w:r>
      <w:sdt>
        <w:sdtPr>
          <w:rPr>
            <w:b/>
            <w:bCs/>
          </w:rPr>
          <w:id w:val="1087583767"/>
          <w:placeholder>
            <w:docPart w:val="C769F1D9111C47A19F2A3D6BC7A1AEB7"/>
          </w:placeholder>
          <w:text/>
        </w:sdtPr>
        <w:sdtEndPr/>
        <w:sdtContent>
          <w:r w:rsidR="006C337E" w:rsidRPr="00540FAD">
            <w:rPr>
              <w:b/>
              <w:bCs/>
            </w:rPr>
            <w:t>No risk adjustment</w:t>
          </w:r>
        </w:sdtContent>
      </w:sdt>
    </w:p>
    <w:bookmarkEnd w:id="42"/>
    <w:p w14:paraId="384F85A0" w14:textId="08FB7B53" w:rsidR="002C1B51" w:rsidRDefault="00C0718C" w:rsidP="00B52BA6">
      <w:pPr>
        <w:pStyle w:val="Heading5"/>
      </w:pPr>
      <w:r>
        <w:t>4.7</w:t>
      </w:r>
      <w:r w:rsidR="002C1B51">
        <w:t>.5</w:t>
      </w:r>
      <w:r w:rsidR="002C1B51">
        <w:tab/>
        <w:t xml:space="preserve">Statistical Results </w:t>
      </w:r>
    </w:p>
    <w:p w14:paraId="5DC62FFA" w14:textId="7664637E" w:rsidR="002C1B51" w:rsidRPr="002704CB" w:rsidRDefault="4CC6195C" w:rsidP="005D3DE1">
      <w:pPr>
        <w:pStyle w:val="BlueprintText"/>
      </w:pPr>
      <w:r>
        <w:t>Not applicable.</w:t>
      </w:r>
    </w:p>
    <w:p w14:paraId="172B7665" w14:textId="1999808F" w:rsidR="002C1B51" w:rsidRPr="00C0718C" w:rsidRDefault="00C0718C" w:rsidP="00B52BA6">
      <w:pPr>
        <w:pStyle w:val="Heading5"/>
      </w:pPr>
      <w:r>
        <w:t>4.7</w:t>
      </w:r>
      <w:r w:rsidR="002C1B51">
        <w:t>.6</w:t>
      </w:r>
      <w:r w:rsidR="002C1B51">
        <w:tab/>
        <w:t>Analyses and Interpretation in Selection of Social</w:t>
      </w:r>
      <w:r w:rsidR="00BE5327">
        <w:t xml:space="preserve"> and Functional</w:t>
      </w:r>
      <w:r w:rsidR="002C1B51">
        <w:t xml:space="preserve"> Risk Factors </w:t>
      </w:r>
    </w:p>
    <w:p w14:paraId="7969BBBB" w14:textId="275DCDC6" w:rsidR="002C1B51" w:rsidRPr="002704CB" w:rsidRDefault="1DA621CF" w:rsidP="005D3DE1">
      <w:pPr>
        <w:pStyle w:val="BlueprintText"/>
      </w:pPr>
      <w:r>
        <w:t>Not applicable.</w:t>
      </w:r>
    </w:p>
    <w:p w14:paraId="6853FA3B" w14:textId="3B070F7E" w:rsidR="002C1B51" w:rsidRDefault="00C0718C" w:rsidP="00B52BA6">
      <w:pPr>
        <w:pStyle w:val="Heading5"/>
      </w:pPr>
      <w:bookmarkStart w:id="43" w:name="_Hlk503276114"/>
      <w:r>
        <w:t>4.7</w:t>
      </w:r>
      <w:r w:rsidR="002C1B51">
        <w:t>.7</w:t>
      </w:r>
      <w:r w:rsidR="002C1B51">
        <w:tab/>
        <w:t xml:space="preserve">Method Used to Develop the Statistical Model or Stratification Approach </w:t>
      </w:r>
    </w:p>
    <w:bookmarkEnd w:id="43"/>
    <w:p w14:paraId="1A8EDCCB" w14:textId="0944D94D" w:rsidR="002C1B51" w:rsidRPr="002704CB" w:rsidRDefault="1DA621CF" w:rsidP="005D3DE1">
      <w:pPr>
        <w:pStyle w:val="BlueprintText"/>
      </w:pPr>
      <w:r>
        <w:t>Not applicable.</w:t>
      </w:r>
    </w:p>
    <w:p w14:paraId="32A05F50" w14:textId="77777777" w:rsidR="002704CB" w:rsidRDefault="00C0718C" w:rsidP="00B52BA6">
      <w:pPr>
        <w:pStyle w:val="Heading5"/>
      </w:pPr>
      <w:bookmarkStart w:id="44" w:name="_Hlk503276479"/>
      <w:r>
        <w:t>4.7</w:t>
      </w:r>
      <w:r w:rsidR="002C1B51">
        <w:t>.8</w:t>
      </w:r>
      <w:r w:rsidR="002C1B51">
        <w:tab/>
        <w:t xml:space="preserve">Statistical Risk Model Discrimination Statistics (e.g., </w:t>
      </w:r>
      <w:r w:rsidR="002C1B51" w:rsidRPr="00FA1F7D">
        <w:t>c-statistic</w:t>
      </w:r>
      <w:r w:rsidR="002C1B51" w:rsidRPr="009673C3">
        <w:t xml:space="preserve">, </w:t>
      </w:r>
      <w:r w:rsidR="002C1B51" w:rsidRPr="00FA1F7D">
        <w:t>R</w:t>
      </w:r>
      <w:r w:rsidR="002C1B51" w:rsidRPr="004C711D">
        <w:t>2</w:t>
      </w:r>
      <w:r w:rsidR="002C1B51" w:rsidRPr="009673C3">
        <w:t>)</w:t>
      </w:r>
    </w:p>
    <w:p w14:paraId="75B9151C" w14:textId="1C718F57" w:rsidR="002C1B51" w:rsidRDefault="1DA621CF" w:rsidP="005D3DE1">
      <w:pPr>
        <w:pStyle w:val="BlueprintText"/>
      </w:pPr>
      <w:r>
        <w:t>Not applicable.</w:t>
      </w:r>
      <w:r w:rsidR="002C1B51">
        <w:t xml:space="preserve"> </w:t>
      </w:r>
    </w:p>
    <w:p w14:paraId="586BCA4F" w14:textId="3C8AF521" w:rsidR="002C1B51" w:rsidRDefault="00C0718C" w:rsidP="00B52BA6">
      <w:pPr>
        <w:pStyle w:val="Heading5"/>
      </w:pPr>
      <w:r>
        <w:t>4.7</w:t>
      </w:r>
      <w:r w:rsidR="002C1B51">
        <w:t>.9</w:t>
      </w:r>
      <w:r w:rsidR="002C1B51">
        <w:tab/>
        <w:t>Statistical Risk Model Calibration Statistics (e.g., Hosmer-</w:t>
      </w:r>
      <w:proofErr w:type="spellStart"/>
      <w:r w:rsidR="002C1B51">
        <w:t>Lemeshow</w:t>
      </w:r>
      <w:proofErr w:type="spellEnd"/>
      <w:r w:rsidR="002C1B51">
        <w:t xml:space="preserve"> statistic) </w:t>
      </w:r>
    </w:p>
    <w:p w14:paraId="5D0086D3" w14:textId="3E5C1629" w:rsidR="002704CB" w:rsidRDefault="5A8C8FAF" w:rsidP="005D3DE1">
      <w:pPr>
        <w:pStyle w:val="BlueprintText"/>
      </w:pPr>
      <w:r>
        <w:t>Not applicable.</w:t>
      </w:r>
    </w:p>
    <w:p w14:paraId="3A3D0B59" w14:textId="624045D3" w:rsidR="002C1B51" w:rsidRDefault="00C0718C" w:rsidP="00B52BA6">
      <w:pPr>
        <w:pStyle w:val="Heading5"/>
      </w:pPr>
      <w:r>
        <w:t>4.7</w:t>
      </w:r>
      <w:r w:rsidR="002C1B51">
        <w:t>.10</w:t>
      </w:r>
      <w:r w:rsidR="002C1B51">
        <w:tab/>
        <w:t xml:space="preserve">Statistical Risk Model Calibration—Risk decile plots or calibration curves </w:t>
      </w:r>
    </w:p>
    <w:p w14:paraId="3ACC61DF" w14:textId="631C397D" w:rsidR="002704CB" w:rsidRDefault="5A8C8FAF" w:rsidP="005D3DE1">
      <w:pPr>
        <w:pStyle w:val="BlueprintText"/>
      </w:pPr>
      <w:r>
        <w:t>Not applicable.</w:t>
      </w:r>
    </w:p>
    <w:p w14:paraId="52E91638" w14:textId="193DA598" w:rsidR="002C1B51" w:rsidRDefault="00C0718C" w:rsidP="00B52BA6">
      <w:pPr>
        <w:pStyle w:val="Heading5"/>
      </w:pPr>
      <w:r>
        <w:t>4.7</w:t>
      </w:r>
      <w:r w:rsidR="002C1B51">
        <w:t>.11</w:t>
      </w:r>
      <w:r w:rsidR="002C1B51">
        <w:tab/>
        <w:t xml:space="preserve">Results of Risk Stratification Analysis </w:t>
      </w:r>
    </w:p>
    <w:p w14:paraId="3CF7494F" w14:textId="71D27DC4" w:rsidR="002704CB" w:rsidRDefault="5A8C8FAF" w:rsidP="005D3DE1">
      <w:pPr>
        <w:pStyle w:val="BlueprintText"/>
      </w:pPr>
      <w:r>
        <w:t>Not applicable.</w:t>
      </w:r>
    </w:p>
    <w:p w14:paraId="530647B9" w14:textId="26312DC6" w:rsidR="002C1B51" w:rsidRDefault="00C0718C" w:rsidP="00B52BA6">
      <w:pPr>
        <w:pStyle w:val="Heading5"/>
      </w:pPr>
      <w:r>
        <w:t>4.7</w:t>
      </w:r>
      <w:r w:rsidR="002C1B51">
        <w:t>.12</w:t>
      </w:r>
      <w:r w:rsidR="002C1B51">
        <w:tab/>
        <w:t xml:space="preserve">Interpretation </w:t>
      </w:r>
    </w:p>
    <w:p w14:paraId="743D3A18" w14:textId="01433C4B" w:rsidR="002704CB" w:rsidRPr="002704CB" w:rsidRDefault="0407A8E6" w:rsidP="005D3DE1">
      <w:pPr>
        <w:pStyle w:val="BlueprintText"/>
      </w:pPr>
      <w:bookmarkStart w:id="45" w:name="_Hlk503276498"/>
      <w:bookmarkEnd w:id="44"/>
      <w:r>
        <w:t>Not applicable.</w:t>
      </w:r>
    </w:p>
    <w:p w14:paraId="489533F0" w14:textId="4954A561" w:rsidR="002C1B51" w:rsidRDefault="00C0718C" w:rsidP="00B52BA6">
      <w:pPr>
        <w:pStyle w:val="Heading5"/>
      </w:pPr>
      <w:r>
        <w:t>4.7</w:t>
      </w:r>
      <w:r w:rsidR="002C1B51">
        <w:t>.13</w:t>
      </w:r>
      <w:r w:rsidR="002C1B51">
        <w:tab/>
        <w:t xml:space="preserve">Optional Additional Testing for Risk Adjustment </w:t>
      </w:r>
    </w:p>
    <w:bookmarkEnd w:id="45"/>
    <w:p w14:paraId="1DCDA5F2" w14:textId="3A97F0B3" w:rsidR="002704CB" w:rsidRPr="002704CB" w:rsidRDefault="0407A8E6" w:rsidP="005D3DE1">
      <w:pPr>
        <w:pStyle w:val="BlueprintText"/>
      </w:pPr>
      <w:r>
        <w:t>Not applicable.</w:t>
      </w:r>
    </w:p>
    <w:p w14:paraId="0C28902E" w14:textId="3AC2027C" w:rsidR="002C1B51" w:rsidRDefault="000A53A2" w:rsidP="00B52BA6">
      <w:pPr>
        <w:pStyle w:val="Heading4"/>
      </w:pPr>
      <w:r>
        <w:t>4.8</w:t>
      </w:r>
      <w:r>
        <w:tab/>
      </w:r>
      <w:r w:rsidR="002C1B51">
        <w:t xml:space="preserve">Identification of Meaningful Differences in Performance (for reference only) </w:t>
      </w:r>
    </w:p>
    <w:p w14:paraId="69628261" w14:textId="673C3360" w:rsidR="002C1B51" w:rsidRDefault="000A53A2" w:rsidP="00B52BA6">
      <w:pPr>
        <w:pStyle w:val="Heading5"/>
      </w:pPr>
      <w:r>
        <w:t>4.8</w:t>
      </w:r>
      <w:r w:rsidR="002C1B51">
        <w:t>.1</w:t>
      </w:r>
      <w:r>
        <w:tab/>
      </w:r>
      <w:r w:rsidR="002C1B51">
        <w:t xml:space="preserve">Method </w:t>
      </w:r>
    </w:p>
    <w:p w14:paraId="0D4BB664" w14:textId="50DB029B" w:rsidR="29018A57" w:rsidRPr="006C1BE2" w:rsidRDefault="006C1BE2" w:rsidP="006C1BE2">
      <w:pPr>
        <w:spacing w:after="120"/>
        <w:rPr>
          <w:rFonts w:ascii="Calibri" w:hAnsi="Calibri" w:cs="Calibri"/>
        </w:rPr>
      </w:pPr>
      <w:r w:rsidRPr="1B174BA5">
        <w:rPr>
          <w:rFonts w:ascii="Calibri" w:hAnsi="Calibri" w:cs="Calibri"/>
        </w:rPr>
        <w:t xml:space="preserve">For ease of comparison, distributions of the measure score by dataset and strata are displayed in </w:t>
      </w:r>
      <w:hyperlink w:anchor="table4new" w:history="1">
        <w:r w:rsidR="005729C3">
          <w:rPr>
            <w:rStyle w:val="Hyperlink"/>
            <w:rFonts w:ascii="Calibri" w:hAnsi="Calibri" w:cs="Calibri"/>
          </w:rPr>
          <w:t>Table 4</w:t>
        </w:r>
      </w:hyperlink>
      <w:r w:rsidRPr="1B174BA5">
        <w:rPr>
          <w:rFonts w:ascii="Calibri" w:hAnsi="Calibri" w:cs="Calibri"/>
        </w:rPr>
        <w:t xml:space="preserve"> below. The mean and IQR range are very similar for the first four rows in Dataset A: EDs overall, EDs in 2022, EDs in 2023, and adult non-mental health strata. This lends weight to the adult non-mental health strata being the primary driving force behind the combined and yearly measure scores. </w:t>
      </w:r>
    </w:p>
    <w:p w14:paraId="7BD8B07E" w14:textId="27AB0E8F" w:rsidR="002C1B51" w:rsidRDefault="000A53A2" w:rsidP="00B52BA6">
      <w:pPr>
        <w:pStyle w:val="Heading5"/>
      </w:pPr>
      <w:r>
        <w:t>4.8</w:t>
      </w:r>
      <w:r w:rsidR="002C1B51">
        <w:t>.2</w:t>
      </w:r>
      <w:r>
        <w:tab/>
      </w:r>
      <w:r w:rsidR="002C1B51">
        <w:t xml:space="preserve">Statistical Results </w:t>
      </w:r>
    </w:p>
    <w:p w14:paraId="336BBB91" w14:textId="705A82C2" w:rsidR="00524E1B" w:rsidRDefault="00524E1B" w:rsidP="00524E1B">
      <w:pPr>
        <w:pStyle w:val="Caption"/>
        <w:keepNext/>
      </w:pPr>
      <w:bookmarkStart w:id="46" w:name="table3"/>
      <w:bookmarkStart w:id="47" w:name="table4new"/>
      <w:r>
        <w:lastRenderedPageBreak/>
        <w:t xml:space="preserve">Table </w:t>
      </w:r>
      <w:r w:rsidR="005729C3">
        <w:t>4</w:t>
      </w:r>
      <w:r>
        <w:t xml:space="preserve"> </w:t>
      </w:r>
      <w:r w:rsidRPr="005E1432">
        <w:t>Distribution of measure scores in Dataset A and Dataset B</w:t>
      </w:r>
    </w:p>
    <w:tbl>
      <w:tblPr>
        <w:tblW w:w="9725" w:type="dxa"/>
        <w:tblLook w:val="04A0" w:firstRow="1" w:lastRow="0" w:firstColumn="1" w:lastColumn="0" w:noHBand="0" w:noVBand="1"/>
      </w:tblPr>
      <w:tblGrid>
        <w:gridCol w:w="4120"/>
        <w:gridCol w:w="1480"/>
        <w:gridCol w:w="2225"/>
        <w:gridCol w:w="1900"/>
      </w:tblGrid>
      <w:tr w:rsidR="00297F0F" w:rsidRPr="00D3577F" w14:paraId="7397FDCD" w14:textId="77777777">
        <w:trPr>
          <w:trHeight w:val="485"/>
          <w:tblHeader/>
        </w:trPr>
        <w:tc>
          <w:tcPr>
            <w:tcW w:w="4120" w:type="dxa"/>
            <w:tcBorders>
              <w:top w:val="single" w:sz="4" w:space="0" w:color="auto"/>
              <w:left w:val="single" w:sz="4" w:space="0" w:color="auto"/>
              <w:bottom w:val="single" w:sz="4" w:space="0" w:color="auto"/>
              <w:right w:val="single" w:sz="4" w:space="0" w:color="auto"/>
            </w:tcBorders>
            <w:shd w:val="clear" w:color="auto" w:fill="323E4F" w:themeFill="text2" w:themeFillShade="BF"/>
            <w:noWrap/>
            <w:hideMark/>
          </w:tcPr>
          <w:bookmarkEnd w:id="46"/>
          <w:bookmarkEnd w:id="47"/>
          <w:p w14:paraId="00D130E3" w14:textId="77777777" w:rsidR="00297F0F" w:rsidRPr="005E6382" w:rsidRDefault="00297F0F">
            <w:pPr>
              <w:jc w:val="center"/>
              <w:rPr>
                <w:b/>
                <w:color w:val="FFFFFF" w:themeColor="background1"/>
              </w:rPr>
            </w:pPr>
            <w:r w:rsidRPr="005E6382">
              <w:rPr>
                <w:b/>
                <w:color w:val="FFFFFF" w:themeColor="background1"/>
              </w:rPr>
              <w:t>Measure Score</w:t>
            </w:r>
          </w:p>
        </w:tc>
        <w:tc>
          <w:tcPr>
            <w:tcW w:w="1480" w:type="dxa"/>
            <w:tcBorders>
              <w:top w:val="single" w:sz="4" w:space="0" w:color="auto"/>
              <w:left w:val="nil"/>
              <w:bottom w:val="single" w:sz="4" w:space="0" w:color="auto"/>
              <w:right w:val="single" w:sz="4" w:space="0" w:color="auto"/>
            </w:tcBorders>
            <w:shd w:val="clear" w:color="auto" w:fill="323E4F" w:themeFill="text2" w:themeFillShade="BF"/>
            <w:noWrap/>
            <w:hideMark/>
          </w:tcPr>
          <w:p w14:paraId="744D12A8" w14:textId="77777777" w:rsidR="00297F0F" w:rsidRPr="005E6382" w:rsidRDefault="00297F0F">
            <w:pPr>
              <w:jc w:val="center"/>
              <w:rPr>
                <w:b/>
                <w:color w:val="FFFFFF" w:themeColor="background1"/>
              </w:rPr>
            </w:pPr>
            <w:r w:rsidRPr="005E6382">
              <w:rPr>
                <w:b/>
                <w:color w:val="FFFFFF" w:themeColor="background1"/>
              </w:rPr>
              <w:t>Mean (SD)</w:t>
            </w:r>
          </w:p>
        </w:tc>
        <w:tc>
          <w:tcPr>
            <w:tcW w:w="2225" w:type="dxa"/>
            <w:tcBorders>
              <w:top w:val="single" w:sz="4" w:space="0" w:color="auto"/>
              <w:left w:val="nil"/>
              <w:bottom w:val="single" w:sz="4" w:space="0" w:color="auto"/>
              <w:right w:val="single" w:sz="4" w:space="0" w:color="auto"/>
            </w:tcBorders>
            <w:shd w:val="clear" w:color="auto" w:fill="323E4F" w:themeFill="text2" w:themeFillShade="BF"/>
            <w:noWrap/>
            <w:hideMark/>
          </w:tcPr>
          <w:p w14:paraId="4BD1BEF4" w14:textId="77777777" w:rsidR="00297F0F" w:rsidRPr="005E6382" w:rsidRDefault="00297F0F">
            <w:pPr>
              <w:jc w:val="center"/>
              <w:rPr>
                <w:b/>
                <w:color w:val="FFFFFF" w:themeColor="background1"/>
              </w:rPr>
            </w:pPr>
            <w:r w:rsidRPr="005E6382">
              <w:rPr>
                <w:b/>
                <w:color w:val="FFFFFF" w:themeColor="background1"/>
              </w:rPr>
              <w:t>Median (IQR)</w:t>
            </w:r>
          </w:p>
        </w:tc>
        <w:tc>
          <w:tcPr>
            <w:tcW w:w="1900" w:type="dxa"/>
            <w:tcBorders>
              <w:top w:val="single" w:sz="4" w:space="0" w:color="auto"/>
              <w:left w:val="nil"/>
              <w:bottom w:val="single" w:sz="4" w:space="0" w:color="auto"/>
              <w:right w:val="single" w:sz="4" w:space="0" w:color="auto"/>
            </w:tcBorders>
            <w:shd w:val="clear" w:color="auto" w:fill="323E4F" w:themeFill="text2" w:themeFillShade="BF"/>
            <w:noWrap/>
            <w:hideMark/>
          </w:tcPr>
          <w:p w14:paraId="489768B0" w14:textId="77777777" w:rsidR="00297F0F" w:rsidRPr="005E6382" w:rsidRDefault="00297F0F">
            <w:pPr>
              <w:jc w:val="center"/>
              <w:rPr>
                <w:b/>
                <w:color w:val="FFFFFF" w:themeColor="background1"/>
              </w:rPr>
            </w:pPr>
            <w:r w:rsidRPr="005E6382">
              <w:rPr>
                <w:b/>
                <w:color w:val="FFFFFF" w:themeColor="background1"/>
              </w:rPr>
              <w:t>Range (min-max)</w:t>
            </w:r>
          </w:p>
        </w:tc>
      </w:tr>
      <w:tr w:rsidR="00297F0F" w:rsidRPr="00D3577F" w14:paraId="3362F0FE" w14:textId="77777777">
        <w:trPr>
          <w:trHeight w:val="251"/>
        </w:trPr>
        <w:tc>
          <w:tcPr>
            <w:tcW w:w="9725" w:type="dxa"/>
            <w:gridSpan w:val="4"/>
            <w:tcBorders>
              <w:top w:val="nil"/>
              <w:left w:val="single" w:sz="4" w:space="0" w:color="auto"/>
              <w:bottom w:val="single" w:sz="4" w:space="0" w:color="auto"/>
              <w:right w:val="single" w:sz="4" w:space="0" w:color="auto"/>
            </w:tcBorders>
            <w:shd w:val="clear" w:color="auto" w:fill="D9D9D9" w:themeFill="background1" w:themeFillShade="D9"/>
            <w:noWrap/>
            <w:vAlign w:val="center"/>
          </w:tcPr>
          <w:p w14:paraId="28F0A7D2" w14:textId="7CFFE572" w:rsidR="00297F0F" w:rsidRPr="00D3577F" w:rsidRDefault="00297F0F">
            <w:pPr>
              <w:jc w:val="center"/>
            </w:pPr>
            <w:r w:rsidRPr="00D3577F">
              <w:t xml:space="preserve">Dataset A </w:t>
            </w:r>
          </w:p>
        </w:tc>
      </w:tr>
      <w:tr w:rsidR="00297F0F" w:rsidRPr="00D3577F" w14:paraId="2CE57B7A" w14:textId="77777777">
        <w:trPr>
          <w:trHeight w:val="300"/>
        </w:trPr>
        <w:tc>
          <w:tcPr>
            <w:tcW w:w="4120" w:type="dxa"/>
            <w:tcBorders>
              <w:top w:val="nil"/>
              <w:left w:val="single" w:sz="4" w:space="0" w:color="auto"/>
              <w:bottom w:val="single" w:sz="4" w:space="0" w:color="auto"/>
              <w:right w:val="single" w:sz="4" w:space="0" w:color="auto"/>
            </w:tcBorders>
            <w:shd w:val="clear" w:color="auto" w:fill="auto"/>
            <w:noWrap/>
            <w:vAlign w:val="bottom"/>
            <w:hideMark/>
          </w:tcPr>
          <w:p w14:paraId="75C4019C" w14:textId="77777777" w:rsidR="00297F0F" w:rsidRPr="00D3577F" w:rsidRDefault="00297F0F">
            <w:r w:rsidRPr="00D3577F">
              <w:t>EDs Overall (N=40)</w:t>
            </w:r>
          </w:p>
        </w:tc>
        <w:tc>
          <w:tcPr>
            <w:tcW w:w="1480" w:type="dxa"/>
            <w:tcBorders>
              <w:top w:val="nil"/>
              <w:left w:val="nil"/>
              <w:bottom w:val="single" w:sz="4" w:space="0" w:color="auto"/>
              <w:right w:val="single" w:sz="4" w:space="0" w:color="auto"/>
            </w:tcBorders>
            <w:shd w:val="clear" w:color="auto" w:fill="auto"/>
            <w:noWrap/>
            <w:vAlign w:val="bottom"/>
            <w:hideMark/>
          </w:tcPr>
          <w:p w14:paraId="7B7EA67E" w14:textId="77777777" w:rsidR="00297F0F" w:rsidRPr="00D3577F" w:rsidRDefault="00297F0F">
            <w:r w:rsidRPr="00D3577F">
              <w:t>26.60 (16.07)</w:t>
            </w:r>
          </w:p>
        </w:tc>
        <w:tc>
          <w:tcPr>
            <w:tcW w:w="2225" w:type="dxa"/>
            <w:tcBorders>
              <w:top w:val="nil"/>
              <w:left w:val="nil"/>
              <w:bottom w:val="single" w:sz="4" w:space="0" w:color="auto"/>
              <w:right w:val="single" w:sz="4" w:space="0" w:color="auto"/>
            </w:tcBorders>
            <w:shd w:val="clear" w:color="auto" w:fill="auto"/>
            <w:vAlign w:val="bottom"/>
            <w:hideMark/>
          </w:tcPr>
          <w:p w14:paraId="44C63479" w14:textId="77777777" w:rsidR="00297F0F" w:rsidRPr="00D3577F" w:rsidRDefault="00297F0F">
            <w:r w:rsidRPr="00D3577F">
              <w:t>30.36 (10.36-39.96)</w:t>
            </w:r>
          </w:p>
        </w:tc>
        <w:tc>
          <w:tcPr>
            <w:tcW w:w="1900" w:type="dxa"/>
            <w:tcBorders>
              <w:top w:val="nil"/>
              <w:left w:val="nil"/>
              <w:bottom w:val="single" w:sz="4" w:space="0" w:color="auto"/>
              <w:right w:val="single" w:sz="4" w:space="0" w:color="auto"/>
            </w:tcBorders>
            <w:shd w:val="clear" w:color="auto" w:fill="auto"/>
            <w:noWrap/>
            <w:vAlign w:val="bottom"/>
            <w:hideMark/>
          </w:tcPr>
          <w:p w14:paraId="02D7D3D0" w14:textId="77777777" w:rsidR="00297F0F" w:rsidRPr="00D3577F" w:rsidRDefault="00297F0F">
            <w:r w:rsidRPr="00D3577F">
              <w:t xml:space="preserve"> (2.91-55.91)</w:t>
            </w:r>
          </w:p>
        </w:tc>
      </w:tr>
      <w:tr w:rsidR="00297F0F" w:rsidRPr="00D3577F" w14:paraId="238C2E19" w14:textId="77777777">
        <w:trPr>
          <w:trHeight w:val="300"/>
        </w:trPr>
        <w:tc>
          <w:tcPr>
            <w:tcW w:w="4120" w:type="dxa"/>
            <w:tcBorders>
              <w:top w:val="nil"/>
              <w:left w:val="single" w:sz="4" w:space="0" w:color="auto"/>
              <w:bottom w:val="single" w:sz="4" w:space="0" w:color="auto"/>
              <w:right w:val="single" w:sz="4" w:space="0" w:color="auto"/>
            </w:tcBorders>
            <w:shd w:val="clear" w:color="auto" w:fill="auto"/>
            <w:noWrap/>
            <w:vAlign w:val="bottom"/>
            <w:hideMark/>
          </w:tcPr>
          <w:p w14:paraId="7ABEB18A" w14:textId="77777777" w:rsidR="00297F0F" w:rsidRPr="00D3577F" w:rsidRDefault="00297F0F">
            <w:r w:rsidRPr="00D3577F">
              <w:t>EDs Entire Cohort, 2022 (N=20)</w:t>
            </w:r>
          </w:p>
        </w:tc>
        <w:tc>
          <w:tcPr>
            <w:tcW w:w="1480" w:type="dxa"/>
            <w:tcBorders>
              <w:top w:val="nil"/>
              <w:left w:val="nil"/>
              <w:bottom w:val="single" w:sz="4" w:space="0" w:color="auto"/>
              <w:right w:val="single" w:sz="4" w:space="0" w:color="auto"/>
            </w:tcBorders>
            <w:shd w:val="clear" w:color="auto" w:fill="auto"/>
            <w:noWrap/>
            <w:vAlign w:val="bottom"/>
            <w:hideMark/>
          </w:tcPr>
          <w:p w14:paraId="00ADF126" w14:textId="77777777" w:rsidR="00297F0F" w:rsidRPr="00D3577F" w:rsidRDefault="00297F0F">
            <w:r w:rsidRPr="00D3577F">
              <w:t>28.28 (16.63)</w:t>
            </w:r>
          </w:p>
        </w:tc>
        <w:tc>
          <w:tcPr>
            <w:tcW w:w="2225" w:type="dxa"/>
            <w:tcBorders>
              <w:top w:val="nil"/>
              <w:left w:val="nil"/>
              <w:bottom w:val="single" w:sz="4" w:space="0" w:color="auto"/>
              <w:right w:val="single" w:sz="4" w:space="0" w:color="auto"/>
            </w:tcBorders>
            <w:shd w:val="clear" w:color="auto" w:fill="auto"/>
            <w:vAlign w:val="bottom"/>
            <w:hideMark/>
          </w:tcPr>
          <w:p w14:paraId="2C08F594" w14:textId="77777777" w:rsidR="00297F0F" w:rsidRPr="00D3577F" w:rsidRDefault="00297F0F">
            <w:r w:rsidRPr="00D3577F">
              <w:t>34.28 (10.83-39.83)</w:t>
            </w:r>
          </w:p>
        </w:tc>
        <w:tc>
          <w:tcPr>
            <w:tcW w:w="1900" w:type="dxa"/>
            <w:tcBorders>
              <w:top w:val="nil"/>
              <w:left w:val="nil"/>
              <w:bottom w:val="single" w:sz="4" w:space="0" w:color="auto"/>
              <w:right w:val="single" w:sz="4" w:space="0" w:color="auto"/>
            </w:tcBorders>
            <w:shd w:val="clear" w:color="auto" w:fill="auto"/>
            <w:noWrap/>
            <w:vAlign w:val="bottom"/>
            <w:hideMark/>
          </w:tcPr>
          <w:p w14:paraId="6EC20023" w14:textId="77777777" w:rsidR="00297F0F" w:rsidRPr="00D3577F" w:rsidRDefault="00297F0F">
            <w:r w:rsidRPr="00D3577F">
              <w:t xml:space="preserve"> (3.52-55.91)</w:t>
            </w:r>
          </w:p>
        </w:tc>
      </w:tr>
      <w:tr w:rsidR="00297F0F" w:rsidRPr="00D3577F" w14:paraId="3F645F45" w14:textId="77777777">
        <w:trPr>
          <w:trHeight w:val="300"/>
        </w:trPr>
        <w:tc>
          <w:tcPr>
            <w:tcW w:w="4120" w:type="dxa"/>
            <w:tcBorders>
              <w:top w:val="nil"/>
              <w:left w:val="single" w:sz="4" w:space="0" w:color="auto"/>
              <w:bottom w:val="single" w:sz="4" w:space="0" w:color="auto"/>
              <w:right w:val="single" w:sz="4" w:space="0" w:color="auto"/>
            </w:tcBorders>
            <w:shd w:val="clear" w:color="auto" w:fill="auto"/>
            <w:noWrap/>
            <w:vAlign w:val="bottom"/>
            <w:hideMark/>
          </w:tcPr>
          <w:p w14:paraId="53D13C30" w14:textId="77777777" w:rsidR="00297F0F" w:rsidRPr="00D3577F" w:rsidRDefault="00297F0F">
            <w:r w:rsidRPr="00D3577F">
              <w:t>EDs Entire Cohort, 2023 (N=20)</w:t>
            </w:r>
          </w:p>
        </w:tc>
        <w:tc>
          <w:tcPr>
            <w:tcW w:w="1480" w:type="dxa"/>
            <w:tcBorders>
              <w:top w:val="nil"/>
              <w:left w:val="nil"/>
              <w:bottom w:val="single" w:sz="4" w:space="0" w:color="auto"/>
              <w:right w:val="single" w:sz="4" w:space="0" w:color="auto"/>
            </w:tcBorders>
            <w:shd w:val="clear" w:color="auto" w:fill="auto"/>
            <w:noWrap/>
            <w:vAlign w:val="bottom"/>
            <w:hideMark/>
          </w:tcPr>
          <w:p w14:paraId="1CFEE5BD" w14:textId="77777777" w:rsidR="00297F0F" w:rsidRPr="00D3577F" w:rsidRDefault="00297F0F">
            <w:r w:rsidRPr="00D3577F">
              <w:t>24.92 (15.75)</w:t>
            </w:r>
          </w:p>
        </w:tc>
        <w:tc>
          <w:tcPr>
            <w:tcW w:w="2225" w:type="dxa"/>
            <w:tcBorders>
              <w:top w:val="nil"/>
              <w:left w:val="nil"/>
              <w:bottom w:val="single" w:sz="4" w:space="0" w:color="auto"/>
              <w:right w:val="single" w:sz="4" w:space="0" w:color="auto"/>
            </w:tcBorders>
            <w:shd w:val="clear" w:color="auto" w:fill="auto"/>
            <w:vAlign w:val="bottom"/>
            <w:hideMark/>
          </w:tcPr>
          <w:p w14:paraId="79C05780" w14:textId="77777777" w:rsidR="00297F0F" w:rsidRPr="00D3577F" w:rsidRDefault="00297F0F">
            <w:r w:rsidRPr="00D3577F">
              <w:t>26.30 (10.36-40.19)</w:t>
            </w:r>
          </w:p>
        </w:tc>
        <w:tc>
          <w:tcPr>
            <w:tcW w:w="1900" w:type="dxa"/>
            <w:tcBorders>
              <w:top w:val="nil"/>
              <w:left w:val="nil"/>
              <w:bottom w:val="single" w:sz="4" w:space="0" w:color="auto"/>
              <w:right w:val="single" w:sz="4" w:space="0" w:color="auto"/>
            </w:tcBorders>
            <w:shd w:val="clear" w:color="auto" w:fill="auto"/>
            <w:noWrap/>
            <w:vAlign w:val="bottom"/>
            <w:hideMark/>
          </w:tcPr>
          <w:p w14:paraId="62E9D384" w14:textId="77777777" w:rsidR="00297F0F" w:rsidRPr="00D3577F" w:rsidRDefault="00297F0F">
            <w:r w:rsidRPr="00D3577F">
              <w:t xml:space="preserve"> (2.91-52.13)</w:t>
            </w:r>
          </w:p>
        </w:tc>
      </w:tr>
      <w:tr w:rsidR="00297F0F" w:rsidRPr="00D3577F" w14:paraId="0F78D4E0" w14:textId="77777777">
        <w:trPr>
          <w:trHeight w:val="300"/>
        </w:trPr>
        <w:tc>
          <w:tcPr>
            <w:tcW w:w="4120" w:type="dxa"/>
            <w:tcBorders>
              <w:top w:val="nil"/>
              <w:left w:val="single" w:sz="4" w:space="0" w:color="auto"/>
              <w:bottom w:val="single" w:sz="4" w:space="0" w:color="auto"/>
              <w:right w:val="single" w:sz="4" w:space="0" w:color="auto"/>
            </w:tcBorders>
            <w:shd w:val="clear" w:color="auto" w:fill="auto"/>
            <w:noWrap/>
            <w:vAlign w:val="bottom"/>
            <w:hideMark/>
          </w:tcPr>
          <w:p w14:paraId="08A7BEA0" w14:textId="77777777" w:rsidR="00297F0F" w:rsidRPr="00D3577F" w:rsidRDefault="00297F0F">
            <w:r w:rsidRPr="00D3577F">
              <w:t>Adult Non-Mental Health Strata (N=20)</w:t>
            </w:r>
          </w:p>
        </w:tc>
        <w:tc>
          <w:tcPr>
            <w:tcW w:w="1480" w:type="dxa"/>
            <w:tcBorders>
              <w:top w:val="nil"/>
              <w:left w:val="nil"/>
              <w:bottom w:val="single" w:sz="4" w:space="0" w:color="auto"/>
              <w:right w:val="single" w:sz="4" w:space="0" w:color="auto"/>
            </w:tcBorders>
            <w:shd w:val="clear" w:color="auto" w:fill="auto"/>
            <w:noWrap/>
            <w:vAlign w:val="bottom"/>
            <w:hideMark/>
          </w:tcPr>
          <w:p w14:paraId="2648AA76" w14:textId="77777777" w:rsidR="00297F0F" w:rsidRPr="00D3577F" w:rsidRDefault="00297F0F">
            <w:r w:rsidRPr="00D3577F">
              <w:t>28.02 (17.01)</w:t>
            </w:r>
          </w:p>
        </w:tc>
        <w:tc>
          <w:tcPr>
            <w:tcW w:w="2225" w:type="dxa"/>
            <w:tcBorders>
              <w:top w:val="nil"/>
              <w:left w:val="nil"/>
              <w:bottom w:val="single" w:sz="4" w:space="0" w:color="auto"/>
              <w:right w:val="single" w:sz="4" w:space="0" w:color="auto"/>
            </w:tcBorders>
            <w:shd w:val="clear" w:color="auto" w:fill="auto"/>
            <w:vAlign w:val="bottom"/>
            <w:hideMark/>
          </w:tcPr>
          <w:p w14:paraId="4CC03C65" w14:textId="77777777" w:rsidR="00297F0F" w:rsidRPr="00D3577F" w:rsidRDefault="00297F0F">
            <w:r w:rsidRPr="00D3577F">
              <w:t>32.47 (10.84-40.59)</w:t>
            </w:r>
          </w:p>
        </w:tc>
        <w:tc>
          <w:tcPr>
            <w:tcW w:w="1900" w:type="dxa"/>
            <w:tcBorders>
              <w:top w:val="nil"/>
              <w:left w:val="nil"/>
              <w:bottom w:val="single" w:sz="4" w:space="0" w:color="auto"/>
              <w:right w:val="single" w:sz="4" w:space="0" w:color="auto"/>
            </w:tcBorders>
            <w:shd w:val="clear" w:color="auto" w:fill="auto"/>
            <w:noWrap/>
            <w:vAlign w:val="bottom"/>
            <w:hideMark/>
          </w:tcPr>
          <w:p w14:paraId="05D9CC22" w14:textId="77777777" w:rsidR="00297F0F" w:rsidRPr="00D3577F" w:rsidRDefault="00297F0F">
            <w:r w:rsidRPr="00D3577F">
              <w:t xml:space="preserve"> (3.68-59.53)</w:t>
            </w:r>
          </w:p>
        </w:tc>
      </w:tr>
      <w:tr w:rsidR="00297F0F" w:rsidRPr="00D3577F" w14:paraId="539224F1" w14:textId="77777777">
        <w:trPr>
          <w:trHeight w:val="300"/>
        </w:trPr>
        <w:tc>
          <w:tcPr>
            <w:tcW w:w="4120" w:type="dxa"/>
            <w:tcBorders>
              <w:top w:val="nil"/>
              <w:left w:val="single" w:sz="4" w:space="0" w:color="auto"/>
              <w:bottom w:val="single" w:sz="4" w:space="0" w:color="auto"/>
              <w:right w:val="single" w:sz="4" w:space="0" w:color="auto"/>
            </w:tcBorders>
            <w:shd w:val="clear" w:color="auto" w:fill="auto"/>
            <w:noWrap/>
            <w:vAlign w:val="bottom"/>
            <w:hideMark/>
          </w:tcPr>
          <w:p w14:paraId="298B4269" w14:textId="77777777" w:rsidR="00297F0F" w:rsidRPr="00D3577F" w:rsidRDefault="00297F0F">
            <w:r w:rsidRPr="00D3577F">
              <w:t>Adult Mental Health Strata (N=20)</w:t>
            </w:r>
          </w:p>
        </w:tc>
        <w:tc>
          <w:tcPr>
            <w:tcW w:w="1480" w:type="dxa"/>
            <w:tcBorders>
              <w:top w:val="nil"/>
              <w:left w:val="nil"/>
              <w:bottom w:val="single" w:sz="4" w:space="0" w:color="auto"/>
              <w:right w:val="single" w:sz="4" w:space="0" w:color="auto"/>
            </w:tcBorders>
            <w:shd w:val="clear" w:color="auto" w:fill="auto"/>
            <w:noWrap/>
            <w:vAlign w:val="bottom"/>
            <w:hideMark/>
          </w:tcPr>
          <w:p w14:paraId="5E7F6FFD" w14:textId="77777777" w:rsidR="00297F0F" w:rsidRPr="00D3577F" w:rsidRDefault="00297F0F">
            <w:r w:rsidRPr="00D3577F">
              <w:t>32.67 (19.85)</w:t>
            </w:r>
          </w:p>
        </w:tc>
        <w:tc>
          <w:tcPr>
            <w:tcW w:w="2225" w:type="dxa"/>
            <w:tcBorders>
              <w:top w:val="nil"/>
              <w:left w:val="nil"/>
              <w:bottom w:val="single" w:sz="4" w:space="0" w:color="auto"/>
              <w:right w:val="single" w:sz="4" w:space="0" w:color="auto"/>
            </w:tcBorders>
            <w:shd w:val="clear" w:color="auto" w:fill="auto"/>
            <w:vAlign w:val="bottom"/>
            <w:hideMark/>
          </w:tcPr>
          <w:p w14:paraId="59F81F71" w14:textId="77777777" w:rsidR="00297F0F" w:rsidRPr="00D3577F" w:rsidRDefault="00297F0F">
            <w:r w:rsidRPr="00D3577F">
              <w:t>29.60 (14.78-45.91)</w:t>
            </w:r>
          </w:p>
        </w:tc>
        <w:tc>
          <w:tcPr>
            <w:tcW w:w="1900" w:type="dxa"/>
            <w:tcBorders>
              <w:top w:val="nil"/>
              <w:left w:val="nil"/>
              <w:bottom w:val="single" w:sz="4" w:space="0" w:color="auto"/>
              <w:right w:val="single" w:sz="4" w:space="0" w:color="auto"/>
            </w:tcBorders>
            <w:shd w:val="clear" w:color="auto" w:fill="auto"/>
            <w:noWrap/>
            <w:vAlign w:val="bottom"/>
            <w:hideMark/>
          </w:tcPr>
          <w:p w14:paraId="1EDB066C" w14:textId="77777777" w:rsidR="00297F0F" w:rsidRPr="00D3577F" w:rsidRDefault="00297F0F">
            <w:r w:rsidRPr="00D3577F">
              <w:t xml:space="preserve"> (8.52-70.80)</w:t>
            </w:r>
          </w:p>
        </w:tc>
      </w:tr>
      <w:tr w:rsidR="00297F0F" w:rsidRPr="00D3577F" w14:paraId="6D69A63C" w14:textId="77777777">
        <w:trPr>
          <w:trHeight w:val="300"/>
        </w:trPr>
        <w:tc>
          <w:tcPr>
            <w:tcW w:w="4120" w:type="dxa"/>
            <w:tcBorders>
              <w:top w:val="nil"/>
              <w:left w:val="single" w:sz="4" w:space="0" w:color="auto"/>
              <w:bottom w:val="single" w:sz="4" w:space="0" w:color="auto"/>
              <w:right w:val="single" w:sz="4" w:space="0" w:color="auto"/>
            </w:tcBorders>
            <w:shd w:val="clear" w:color="auto" w:fill="auto"/>
            <w:noWrap/>
            <w:vAlign w:val="bottom"/>
            <w:hideMark/>
          </w:tcPr>
          <w:p w14:paraId="28A004DF" w14:textId="77777777" w:rsidR="00297F0F" w:rsidRPr="00D3577F" w:rsidRDefault="00297F0F">
            <w:r w:rsidRPr="00D3577F">
              <w:t>Pediatric Non-Mental Health Strata (N=20)</w:t>
            </w:r>
          </w:p>
        </w:tc>
        <w:tc>
          <w:tcPr>
            <w:tcW w:w="1480" w:type="dxa"/>
            <w:tcBorders>
              <w:top w:val="nil"/>
              <w:left w:val="nil"/>
              <w:bottom w:val="single" w:sz="4" w:space="0" w:color="auto"/>
              <w:right w:val="single" w:sz="4" w:space="0" w:color="auto"/>
            </w:tcBorders>
            <w:shd w:val="clear" w:color="auto" w:fill="auto"/>
            <w:noWrap/>
            <w:vAlign w:val="bottom"/>
            <w:hideMark/>
          </w:tcPr>
          <w:p w14:paraId="1DE7B841" w14:textId="77777777" w:rsidR="00297F0F" w:rsidRPr="00D3577F" w:rsidRDefault="00297F0F">
            <w:r w:rsidRPr="00D3577F">
              <w:t>18.22 (12.50)</w:t>
            </w:r>
          </w:p>
        </w:tc>
        <w:tc>
          <w:tcPr>
            <w:tcW w:w="2225" w:type="dxa"/>
            <w:tcBorders>
              <w:top w:val="nil"/>
              <w:left w:val="nil"/>
              <w:bottom w:val="single" w:sz="4" w:space="0" w:color="auto"/>
              <w:right w:val="single" w:sz="4" w:space="0" w:color="auto"/>
            </w:tcBorders>
            <w:shd w:val="clear" w:color="auto" w:fill="auto"/>
            <w:vAlign w:val="bottom"/>
            <w:hideMark/>
          </w:tcPr>
          <w:p w14:paraId="5D9455E6" w14:textId="77777777" w:rsidR="00297F0F" w:rsidRPr="00D3577F" w:rsidRDefault="00297F0F">
            <w:r w:rsidRPr="00D3577F">
              <w:t>15.28 (8.94-27.36)</w:t>
            </w:r>
          </w:p>
        </w:tc>
        <w:tc>
          <w:tcPr>
            <w:tcW w:w="1900" w:type="dxa"/>
            <w:tcBorders>
              <w:top w:val="nil"/>
              <w:left w:val="nil"/>
              <w:bottom w:val="single" w:sz="4" w:space="0" w:color="auto"/>
              <w:right w:val="single" w:sz="4" w:space="0" w:color="auto"/>
            </w:tcBorders>
            <w:shd w:val="clear" w:color="auto" w:fill="auto"/>
            <w:noWrap/>
            <w:vAlign w:val="bottom"/>
            <w:hideMark/>
          </w:tcPr>
          <w:p w14:paraId="1EB052EA" w14:textId="77777777" w:rsidR="00297F0F" w:rsidRPr="00D3577F" w:rsidRDefault="00297F0F">
            <w:r w:rsidRPr="00D3577F">
              <w:t xml:space="preserve"> (1.61-40.73)</w:t>
            </w:r>
          </w:p>
        </w:tc>
      </w:tr>
      <w:tr w:rsidR="00297F0F" w:rsidRPr="00D3577F" w14:paraId="2AF2D717" w14:textId="77777777">
        <w:trPr>
          <w:trHeight w:val="300"/>
        </w:trPr>
        <w:tc>
          <w:tcPr>
            <w:tcW w:w="4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1B33BA" w14:textId="77777777" w:rsidR="00297F0F" w:rsidRPr="00D3577F" w:rsidRDefault="00297F0F">
            <w:r w:rsidRPr="00D3577F">
              <w:t>Pediatric Mental Health Strata (N=20)</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14:paraId="739C17A5" w14:textId="77777777" w:rsidR="00297F0F" w:rsidRPr="00D3577F" w:rsidRDefault="00297F0F">
            <w:r w:rsidRPr="00D3577F">
              <w:t>22.90 (12.08)</w:t>
            </w:r>
          </w:p>
        </w:tc>
        <w:tc>
          <w:tcPr>
            <w:tcW w:w="2225" w:type="dxa"/>
            <w:tcBorders>
              <w:top w:val="single" w:sz="4" w:space="0" w:color="auto"/>
              <w:left w:val="nil"/>
              <w:bottom w:val="single" w:sz="4" w:space="0" w:color="auto"/>
              <w:right w:val="single" w:sz="4" w:space="0" w:color="auto"/>
            </w:tcBorders>
            <w:shd w:val="clear" w:color="auto" w:fill="auto"/>
            <w:vAlign w:val="bottom"/>
            <w:hideMark/>
          </w:tcPr>
          <w:p w14:paraId="4644142B" w14:textId="77777777" w:rsidR="00297F0F" w:rsidRPr="00D3577F" w:rsidRDefault="00297F0F">
            <w:r w:rsidRPr="00D3577F">
              <w:t>20.54 (13.74-32.06)</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14:paraId="3CC69FF2" w14:textId="77777777" w:rsidR="00297F0F" w:rsidRPr="00D3577F" w:rsidRDefault="00297F0F">
            <w:r w:rsidRPr="00D3577F">
              <w:t xml:space="preserve"> (2.75-50.00)</w:t>
            </w:r>
          </w:p>
        </w:tc>
      </w:tr>
      <w:tr w:rsidR="00297F0F" w:rsidRPr="00D3577F" w14:paraId="41F92583" w14:textId="77777777">
        <w:trPr>
          <w:trHeight w:val="300"/>
        </w:trPr>
        <w:tc>
          <w:tcPr>
            <w:tcW w:w="972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1324E78" w14:textId="77777777" w:rsidR="00297F0F" w:rsidRPr="00D3577F" w:rsidRDefault="00297F0F">
            <w:pPr>
              <w:jc w:val="center"/>
            </w:pPr>
            <w:r w:rsidRPr="00D3577F">
              <w:t>Dataset B</w:t>
            </w:r>
          </w:p>
        </w:tc>
      </w:tr>
      <w:tr w:rsidR="00297F0F" w:rsidRPr="00D3577F" w14:paraId="49D20928" w14:textId="77777777">
        <w:trPr>
          <w:trHeight w:val="300"/>
        </w:trPr>
        <w:tc>
          <w:tcPr>
            <w:tcW w:w="41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20FD37" w14:textId="5DC6DB09" w:rsidR="00297F0F" w:rsidRPr="00D3577F" w:rsidRDefault="00297F0F">
            <w:r w:rsidRPr="00D3577F">
              <w:t>EDs Entire Cohort</w:t>
            </w:r>
            <w:r w:rsidR="005729C3">
              <w:t xml:space="preserve"> </w:t>
            </w:r>
            <w:r w:rsidRPr="00D3577F">
              <w:t>(N=12)</w:t>
            </w:r>
          </w:p>
        </w:tc>
        <w:tc>
          <w:tcPr>
            <w:tcW w:w="1480" w:type="dxa"/>
            <w:tcBorders>
              <w:top w:val="single" w:sz="4" w:space="0" w:color="auto"/>
              <w:left w:val="nil"/>
              <w:bottom w:val="single" w:sz="4" w:space="0" w:color="auto"/>
              <w:right w:val="single" w:sz="4" w:space="0" w:color="auto"/>
            </w:tcBorders>
            <w:shd w:val="clear" w:color="auto" w:fill="auto"/>
            <w:noWrap/>
            <w:vAlign w:val="bottom"/>
          </w:tcPr>
          <w:p w14:paraId="229EECAA" w14:textId="77777777" w:rsidR="00297F0F" w:rsidRPr="00D3577F" w:rsidRDefault="00297F0F">
            <w:r w:rsidRPr="00D3577F">
              <w:t>23.87 (5.36)</w:t>
            </w:r>
          </w:p>
        </w:tc>
        <w:tc>
          <w:tcPr>
            <w:tcW w:w="2225" w:type="dxa"/>
            <w:tcBorders>
              <w:top w:val="single" w:sz="4" w:space="0" w:color="auto"/>
              <w:left w:val="nil"/>
              <w:bottom w:val="single" w:sz="4" w:space="0" w:color="auto"/>
              <w:right w:val="single" w:sz="4" w:space="0" w:color="auto"/>
            </w:tcBorders>
            <w:shd w:val="clear" w:color="auto" w:fill="auto"/>
            <w:vAlign w:val="bottom"/>
          </w:tcPr>
          <w:p w14:paraId="45EA0CC0" w14:textId="77777777" w:rsidR="00297F0F" w:rsidRPr="00D3577F" w:rsidRDefault="00297F0F">
            <w:r w:rsidRPr="00D3577F">
              <w:t>24.07 (20.28-27.97)</w:t>
            </w:r>
          </w:p>
        </w:tc>
        <w:tc>
          <w:tcPr>
            <w:tcW w:w="1900" w:type="dxa"/>
            <w:tcBorders>
              <w:top w:val="single" w:sz="4" w:space="0" w:color="auto"/>
              <w:left w:val="nil"/>
              <w:bottom w:val="single" w:sz="4" w:space="0" w:color="auto"/>
              <w:right w:val="single" w:sz="4" w:space="0" w:color="auto"/>
            </w:tcBorders>
            <w:shd w:val="clear" w:color="auto" w:fill="auto"/>
            <w:noWrap/>
            <w:vAlign w:val="bottom"/>
          </w:tcPr>
          <w:p w14:paraId="3EF7F72B" w14:textId="77777777" w:rsidR="00297F0F" w:rsidRPr="00D3577F" w:rsidRDefault="00297F0F">
            <w:r w:rsidRPr="00D3577F">
              <w:t>(15.91-32.21)</w:t>
            </w:r>
          </w:p>
        </w:tc>
      </w:tr>
      <w:tr w:rsidR="00297F0F" w:rsidRPr="00D3577F" w14:paraId="7A2000E0" w14:textId="77777777">
        <w:trPr>
          <w:trHeight w:val="300"/>
        </w:trPr>
        <w:tc>
          <w:tcPr>
            <w:tcW w:w="41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B629E3" w14:textId="77777777" w:rsidR="00297F0F" w:rsidRPr="00D3577F" w:rsidRDefault="00297F0F">
            <w:r w:rsidRPr="00D3577F">
              <w:t>Adult Non-Mental Health Strata (N=12)</w:t>
            </w:r>
          </w:p>
        </w:tc>
        <w:tc>
          <w:tcPr>
            <w:tcW w:w="1480" w:type="dxa"/>
            <w:tcBorders>
              <w:top w:val="single" w:sz="4" w:space="0" w:color="auto"/>
              <w:left w:val="nil"/>
              <w:bottom w:val="single" w:sz="4" w:space="0" w:color="auto"/>
              <w:right w:val="single" w:sz="4" w:space="0" w:color="auto"/>
            </w:tcBorders>
            <w:shd w:val="clear" w:color="auto" w:fill="auto"/>
            <w:noWrap/>
            <w:vAlign w:val="bottom"/>
          </w:tcPr>
          <w:p w14:paraId="7C71A195" w14:textId="77777777" w:rsidR="00297F0F" w:rsidRPr="00D3577F" w:rsidRDefault="00297F0F">
            <w:r w:rsidRPr="00D3577F">
              <w:t>23.59 (4.82)</w:t>
            </w:r>
          </w:p>
        </w:tc>
        <w:tc>
          <w:tcPr>
            <w:tcW w:w="2225" w:type="dxa"/>
            <w:tcBorders>
              <w:top w:val="single" w:sz="4" w:space="0" w:color="auto"/>
              <w:left w:val="nil"/>
              <w:bottom w:val="single" w:sz="4" w:space="0" w:color="auto"/>
              <w:right w:val="single" w:sz="4" w:space="0" w:color="auto"/>
            </w:tcBorders>
            <w:shd w:val="clear" w:color="auto" w:fill="auto"/>
            <w:vAlign w:val="bottom"/>
          </w:tcPr>
          <w:p w14:paraId="2E50D335" w14:textId="77777777" w:rsidR="00297F0F" w:rsidRPr="00D3577F" w:rsidRDefault="00297F0F">
            <w:r w:rsidRPr="00D3577F">
              <w:t>23.54 (20.23-27.30)</w:t>
            </w:r>
          </w:p>
        </w:tc>
        <w:tc>
          <w:tcPr>
            <w:tcW w:w="1900" w:type="dxa"/>
            <w:tcBorders>
              <w:top w:val="single" w:sz="4" w:space="0" w:color="auto"/>
              <w:left w:val="nil"/>
              <w:bottom w:val="single" w:sz="4" w:space="0" w:color="auto"/>
              <w:right w:val="single" w:sz="4" w:space="0" w:color="auto"/>
            </w:tcBorders>
            <w:shd w:val="clear" w:color="auto" w:fill="auto"/>
            <w:noWrap/>
            <w:vAlign w:val="bottom"/>
          </w:tcPr>
          <w:p w14:paraId="6DC35851" w14:textId="77777777" w:rsidR="00297F0F" w:rsidRPr="00D3577F" w:rsidRDefault="00297F0F">
            <w:r w:rsidRPr="00D3577F">
              <w:t>(15.90-30.90)</w:t>
            </w:r>
          </w:p>
        </w:tc>
      </w:tr>
      <w:tr w:rsidR="00297F0F" w:rsidRPr="00D3577F" w14:paraId="43C07666" w14:textId="77777777">
        <w:trPr>
          <w:trHeight w:val="300"/>
        </w:trPr>
        <w:tc>
          <w:tcPr>
            <w:tcW w:w="41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CE8F7B" w14:textId="77777777" w:rsidR="00297F0F" w:rsidRPr="00D3577F" w:rsidRDefault="00297F0F">
            <w:r w:rsidRPr="00D3577F">
              <w:t>Adult Mental Health Strata (N=12)</w:t>
            </w:r>
          </w:p>
        </w:tc>
        <w:tc>
          <w:tcPr>
            <w:tcW w:w="1480" w:type="dxa"/>
            <w:tcBorders>
              <w:top w:val="single" w:sz="4" w:space="0" w:color="auto"/>
              <w:left w:val="nil"/>
              <w:bottom w:val="single" w:sz="4" w:space="0" w:color="auto"/>
              <w:right w:val="single" w:sz="4" w:space="0" w:color="auto"/>
            </w:tcBorders>
            <w:shd w:val="clear" w:color="auto" w:fill="auto"/>
            <w:noWrap/>
            <w:vAlign w:val="bottom"/>
          </w:tcPr>
          <w:p w14:paraId="67633022" w14:textId="77777777" w:rsidR="00297F0F" w:rsidRPr="00D3577F" w:rsidRDefault="00297F0F">
            <w:r w:rsidRPr="00D3577F">
              <w:t>49.93 (10.55)</w:t>
            </w:r>
          </w:p>
        </w:tc>
        <w:tc>
          <w:tcPr>
            <w:tcW w:w="2225" w:type="dxa"/>
            <w:tcBorders>
              <w:top w:val="single" w:sz="4" w:space="0" w:color="auto"/>
              <w:left w:val="nil"/>
              <w:bottom w:val="single" w:sz="4" w:space="0" w:color="auto"/>
              <w:right w:val="single" w:sz="4" w:space="0" w:color="auto"/>
            </w:tcBorders>
            <w:shd w:val="clear" w:color="auto" w:fill="auto"/>
            <w:vAlign w:val="bottom"/>
          </w:tcPr>
          <w:p w14:paraId="633A6902" w14:textId="77777777" w:rsidR="00297F0F" w:rsidRPr="00D3577F" w:rsidRDefault="00297F0F">
            <w:r w:rsidRPr="00D3577F">
              <w:t>52.27 (41.35-57.57)</w:t>
            </w:r>
          </w:p>
        </w:tc>
        <w:tc>
          <w:tcPr>
            <w:tcW w:w="1900" w:type="dxa"/>
            <w:tcBorders>
              <w:top w:val="single" w:sz="4" w:space="0" w:color="auto"/>
              <w:left w:val="nil"/>
              <w:bottom w:val="single" w:sz="4" w:space="0" w:color="auto"/>
              <w:right w:val="single" w:sz="4" w:space="0" w:color="auto"/>
            </w:tcBorders>
            <w:shd w:val="clear" w:color="auto" w:fill="auto"/>
            <w:noWrap/>
            <w:vAlign w:val="bottom"/>
          </w:tcPr>
          <w:p w14:paraId="52DB57B4" w14:textId="77777777" w:rsidR="00297F0F" w:rsidRPr="00D3577F" w:rsidRDefault="00297F0F">
            <w:r w:rsidRPr="00D3577F">
              <w:t>(34.57-66.48)</w:t>
            </w:r>
          </w:p>
        </w:tc>
      </w:tr>
      <w:tr w:rsidR="00297F0F" w:rsidRPr="00D3577F" w14:paraId="221CB24D" w14:textId="77777777">
        <w:trPr>
          <w:trHeight w:val="300"/>
        </w:trPr>
        <w:tc>
          <w:tcPr>
            <w:tcW w:w="41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8AF102" w14:textId="77777777" w:rsidR="00297F0F" w:rsidRPr="00D3577F" w:rsidRDefault="00297F0F">
            <w:r w:rsidRPr="00D3577F">
              <w:t>Pediatric Non-Mental Health Strata (N=12)</w:t>
            </w:r>
          </w:p>
        </w:tc>
        <w:tc>
          <w:tcPr>
            <w:tcW w:w="1480" w:type="dxa"/>
            <w:tcBorders>
              <w:top w:val="single" w:sz="4" w:space="0" w:color="auto"/>
              <w:left w:val="nil"/>
              <w:bottom w:val="single" w:sz="4" w:space="0" w:color="auto"/>
              <w:right w:val="single" w:sz="4" w:space="0" w:color="auto"/>
            </w:tcBorders>
            <w:shd w:val="clear" w:color="auto" w:fill="auto"/>
            <w:noWrap/>
            <w:vAlign w:val="bottom"/>
          </w:tcPr>
          <w:p w14:paraId="724CBE47" w14:textId="77777777" w:rsidR="00297F0F" w:rsidRPr="00D3577F" w:rsidRDefault="00297F0F">
            <w:r w:rsidRPr="00D3577F">
              <w:t>16.67 (10.15)</w:t>
            </w:r>
          </w:p>
        </w:tc>
        <w:tc>
          <w:tcPr>
            <w:tcW w:w="2225" w:type="dxa"/>
            <w:tcBorders>
              <w:top w:val="single" w:sz="4" w:space="0" w:color="auto"/>
              <w:left w:val="nil"/>
              <w:bottom w:val="single" w:sz="4" w:space="0" w:color="auto"/>
              <w:right w:val="single" w:sz="4" w:space="0" w:color="auto"/>
            </w:tcBorders>
            <w:shd w:val="clear" w:color="auto" w:fill="auto"/>
            <w:vAlign w:val="bottom"/>
          </w:tcPr>
          <w:p w14:paraId="052CA0DC" w14:textId="77777777" w:rsidR="00297F0F" w:rsidRPr="00D3577F" w:rsidRDefault="00297F0F">
            <w:r w:rsidRPr="00D3577F">
              <w:t>14.94 (10.04-24.37)</w:t>
            </w:r>
          </w:p>
        </w:tc>
        <w:tc>
          <w:tcPr>
            <w:tcW w:w="1900" w:type="dxa"/>
            <w:tcBorders>
              <w:top w:val="single" w:sz="4" w:space="0" w:color="auto"/>
              <w:left w:val="nil"/>
              <w:bottom w:val="single" w:sz="4" w:space="0" w:color="auto"/>
              <w:right w:val="single" w:sz="4" w:space="0" w:color="auto"/>
            </w:tcBorders>
            <w:shd w:val="clear" w:color="auto" w:fill="auto"/>
            <w:noWrap/>
            <w:vAlign w:val="bottom"/>
          </w:tcPr>
          <w:p w14:paraId="1C23BD2A" w14:textId="77777777" w:rsidR="00297F0F" w:rsidRPr="00D3577F" w:rsidRDefault="00297F0F">
            <w:r w:rsidRPr="00D3577F">
              <w:t>(2.98-34.07)</w:t>
            </w:r>
          </w:p>
        </w:tc>
      </w:tr>
      <w:tr w:rsidR="00297F0F" w:rsidRPr="00D3577F" w14:paraId="1B2C27DD" w14:textId="77777777">
        <w:trPr>
          <w:trHeight w:val="300"/>
        </w:trPr>
        <w:tc>
          <w:tcPr>
            <w:tcW w:w="41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F0F6BC" w14:textId="77777777" w:rsidR="00297F0F" w:rsidRPr="00D3577F" w:rsidRDefault="00297F0F">
            <w:r w:rsidRPr="00D3577F">
              <w:t>Pediatric Mental Health Strata (N=12)</w:t>
            </w:r>
          </w:p>
        </w:tc>
        <w:tc>
          <w:tcPr>
            <w:tcW w:w="1480" w:type="dxa"/>
            <w:tcBorders>
              <w:top w:val="single" w:sz="4" w:space="0" w:color="auto"/>
              <w:left w:val="nil"/>
              <w:bottom w:val="single" w:sz="4" w:space="0" w:color="auto"/>
              <w:right w:val="single" w:sz="4" w:space="0" w:color="auto"/>
            </w:tcBorders>
            <w:shd w:val="clear" w:color="auto" w:fill="auto"/>
            <w:noWrap/>
            <w:vAlign w:val="bottom"/>
          </w:tcPr>
          <w:p w14:paraId="54365E11" w14:textId="77777777" w:rsidR="00297F0F" w:rsidRPr="00D3577F" w:rsidRDefault="00297F0F">
            <w:r w:rsidRPr="00D3577F">
              <w:t>52.62 (10.89)</w:t>
            </w:r>
          </w:p>
        </w:tc>
        <w:tc>
          <w:tcPr>
            <w:tcW w:w="2225" w:type="dxa"/>
            <w:tcBorders>
              <w:top w:val="single" w:sz="4" w:space="0" w:color="auto"/>
              <w:left w:val="nil"/>
              <w:bottom w:val="single" w:sz="4" w:space="0" w:color="auto"/>
              <w:right w:val="single" w:sz="4" w:space="0" w:color="auto"/>
            </w:tcBorders>
            <w:shd w:val="clear" w:color="auto" w:fill="auto"/>
            <w:vAlign w:val="bottom"/>
          </w:tcPr>
          <w:p w14:paraId="44C38EDD" w14:textId="77777777" w:rsidR="00297F0F" w:rsidRPr="00D3577F" w:rsidRDefault="00297F0F">
            <w:r w:rsidRPr="00D3577F">
              <w:t>52.19 (46.59-58.54)</w:t>
            </w:r>
          </w:p>
        </w:tc>
        <w:tc>
          <w:tcPr>
            <w:tcW w:w="1900" w:type="dxa"/>
            <w:tcBorders>
              <w:top w:val="single" w:sz="4" w:space="0" w:color="auto"/>
              <w:left w:val="nil"/>
              <w:bottom w:val="single" w:sz="4" w:space="0" w:color="auto"/>
              <w:right w:val="single" w:sz="4" w:space="0" w:color="auto"/>
            </w:tcBorders>
            <w:shd w:val="clear" w:color="auto" w:fill="auto"/>
            <w:noWrap/>
            <w:vAlign w:val="bottom"/>
          </w:tcPr>
          <w:p w14:paraId="1D4C8237" w14:textId="77777777" w:rsidR="00297F0F" w:rsidRPr="00D3577F" w:rsidRDefault="00297F0F">
            <w:r w:rsidRPr="00D3577F">
              <w:t>(33.82-71.62)</w:t>
            </w:r>
          </w:p>
        </w:tc>
      </w:tr>
    </w:tbl>
    <w:p w14:paraId="3B4B8D3E" w14:textId="77777777" w:rsidR="005729C3" w:rsidRDefault="005729C3" w:rsidP="00B52BA6">
      <w:pPr>
        <w:pStyle w:val="Heading5"/>
      </w:pPr>
    </w:p>
    <w:p w14:paraId="3916E2DF" w14:textId="5B5732FA" w:rsidR="002C1B51" w:rsidRDefault="000A53A2" w:rsidP="00B52BA6">
      <w:pPr>
        <w:pStyle w:val="Heading5"/>
      </w:pPr>
      <w:r>
        <w:t>4.8</w:t>
      </w:r>
      <w:r w:rsidR="002C1B51">
        <w:t>.3</w:t>
      </w:r>
      <w:r>
        <w:tab/>
      </w:r>
      <w:r w:rsidR="002C1B51">
        <w:t xml:space="preserve">Interpretation </w:t>
      </w:r>
    </w:p>
    <w:p w14:paraId="46C91950" w14:textId="77777777" w:rsidR="00AC4C47" w:rsidRPr="003B4386" w:rsidRDefault="00AC4C47" w:rsidP="00AC4C47">
      <w:pPr>
        <w:spacing w:after="120"/>
        <w:rPr>
          <w:rFonts w:ascii="Calibri" w:hAnsi="Calibri" w:cs="Calibri"/>
        </w:rPr>
      </w:pPr>
      <w:r w:rsidRPr="003B4386">
        <w:rPr>
          <w:rFonts w:ascii="Calibri" w:hAnsi="Calibri" w:cs="Calibri"/>
        </w:rPr>
        <w:t>Overall, there is a wide range in overall scores (2.9% - 55.9%), and across all strata, indicating variation in performance and implying room for quality improvement.</w:t>
      </w:r>
    </w:p>
    <w:p w14:paraId="2ECFFC7B" w14:textId="0AEF77BB" w:rsidR="002C1B51" w:rsidRPr="004C711D" w:rsidRDefault="000A53A2" w:rsidP="00B52BA6">
      <w:pPr>
        <w:pStyle w:val="Heading4"/>
      </w:pPr>
      <w:r>
        <w:t>4.9</w:t>
      </w:r>
      <w:bookmarkStart w:id="48" w:name="_Hlk503276597"/>
      <w:r w:rsidR="002C1B51">
        <w:tab/>
      </w:r>
      <w:r w:rsidR="002C1B51" w:rsidRPr="003E4F33">
        <w:t>Comparability</w:t>
      </w:r>
      <w:r w:rsidR="002C1B51" w:rsidRPr="000D3D01">
        <w:t xml:space="preserve"> of Multiple Data Sources/Methods</w:t>
      </w:r>
      <w:bookmarkEnd w:id="48"/>
      <w:r w:rsidR="002C1B51" w:rsidRPr="004C711D">
        <w:t xml:space="preserve"> (for reference only) </w:t>
      </w:r>
    </w:p>
    <w:p w14:paraId="6C2D522E" w14:textId="22F73916" w:rsidR="00960927" w:rsidRPr="002704CB" w:rsidRDefault="69D9B7AB" w:rsidP="00FB3CE5">
      <w:pPr>
        <w:pStyle w:val="BlueprintText"/>
      </w:pPr>
      <w:r>
        <w:t>Not applicable.</w:t>
      </w:r>
    </w:p>
    <w:p w14:paraId="3A9EAA09" w14:textId="4E0228D0" w:rsidR="002C1B51" w:rsidRDefault="000A53A2" w:rsidP="00B52BA6">
      <w:pPr>
        <w:pStyle w:val="Heading5"/>
      </w:pPr>
      <w:r>
        <w:t>4.9</w:t>
      </w:r>
      <w:r w:rsidR="002C1B51">
        <w:t>.1</w:t>
      </w:r>
      <w:r w:rsidR="002C1B51">
        <w:tab/>
        <w:t xml:space="preserve">Method </w:t>
      </w:r>
    </w:p>
    <w:p w14:paraId="06C91ABF" w14:textId="57B32A3E" w:rsidR="00960927" w:rsidRPr="002704CB" w:rsidRDefault="69D9B7AB" w:rsidP="00FB3CE5">
      <w:pPr>
        <w:pStyle w:val="BlueprintText"/>
      </w:pPr>
      <w:r>
        <w:t>Not applicable.</w:t>
      </w:r>
    </w:p>
    <w:p w14:paraId="08C1BD4A" w14:textId="79999BE7" w:rsidR="002C1B51" w:rsidRDefault="000A53A2" w:rsidP="00B52BA6">
      <w:pPr>
        <w:pStyle w:val="Heading5"/>
      </w:pPr>
      <w:r>
        <w:t>4.9</w:t>
      </w:r>
      <w:r w:rsidR="002C1B51">
        <w:t>.2</w:t>
      </w:r>
      <w:r w:rsidR="002C1B51">
        <w:tab/>
        <w:t xml:space="preserve">Statistical Results </w:t>
      </w:r>
    </w:p>
    <w:p w14:paraId="3D31B179" w14:textId="5FB1D6D4" w:rsidR="00960927" w:rsidRPr="002704CB" w:rsidRDefault="69D9B7AB" w:rsidP="00FB3CE5">
      <w:pPr>
        <w:pStyle w:val="BlueprintText"/>
      </w:pPr>
      <w:r>
        <w:t>Not applicable.</w:t>
      </w:r>
    </w:p>
    <w:p w14:paraId="68108EB1" w14:textId="40BAF527" w:rsidR="002C1B51" w:rsidRDefault="000A53A2" w:rsidP="00B52BA6">
      <w:pPr>
        <w:pStyle w:val="Heading5"/>
      </w:pPr>
      <w:r>
        <w:t>4.9</w:t>
      </w:r>
      <w:r w:rsidR="002C1B51">
        <w:t>.3</w:t>
      </w:r>
      <w:r w:rsidR="002C1B51">
        <w:tab/>
        <w:t xml:space="preserve">Interpretation </w:t>
      </w:r>
    </w:p>
    <w:p w14:paraId="147FF191" w14:textId="581D0F43" w:rsidR="00960927" w:rsidRPr="002704CB" w:rsidRDefault="1325AAFA" w:rsidP="00FB3CE5">
      <w:pPr>
        <w:pStyle w:val="BlueprintText"/>
      </w:pPr>
      <w:r>
        <w:t>Not applicable.</w:t>
      </w:r>
    </w:p>
    <w:p w14:paraId="5C4CE5DA" w14:textId="284B0ABB" w:rsidR="002C1B51" w:rsidRPr="000D3D01" w:rsidRDefault="000A53A2" w:rsidP="00B52BA6">
      <w:pPr>
        <w:pStyle w:val="Heading4"/>
      </w:pPr>
      <w:r>
        <w:t>4.10</w:t>
      </w:r>
      <w:r w:rsidR="002C1B51">
        <w:tab/>
      </w:r>
      <w:r w:rsidR="002C1B51" w:rsidRPr="000D3D01">
        <w:t xml:space="preserve">Missing Data Analysis and Minimizing Bias </w:t>
      </w:r>
      <w:r w:rsidR="002C1B51" w:rsidRPr="004C711D">
        <w:t>(for reference only)</w:t>
      </w:r>
      <w:r w:rsidR="002C1B51" w:rsidRPr="000D3D01">
        <w:t xml:space="preserve"> </w:t>
      </w:r>
    </w:p>
    <w:p w14:paraId="59527490" w14:textId="6EA41D21" w:rsidR="002C1B51" w:rsidRDefault="000A53A2" w:rsidP="00B52BA6">
      <w:pPr>
        <w:pStyle w:val="Heading5"/>
      </w:pPr>
      <w:r>
        <w:lastRenderedPageBreak/>
        <w:t>4.10</w:t>
      </w:r>
      <w:r w:rsidR="002C1B51">
        <w:t>.1</w:t>
      </w:r>
      <w:r>
        <w:tab/>
      </w:r>
      <w:r w:rsidR="002C1B51">
        <w:t xml:space="preserve">Method </w:t>
      </w:r>
    </w:p>
    <w:p w14:paraId="59786B08" w14:textId="0311D28B" w:rsidR="003B7BAA" w:rsidRPr="004079FC" w:rsidRDefault="003B7BAA" w:rsidP="004079FC">
      <w:pPr>
        <w:spacing w:after="120"/>
        <w:rPr>
          <w:rFonts w:ascii="Calibri" w:hAnsi="Calibri" w:cs="Calibri"/>
        </w:rPr>
      </w:pPr>
      <w:r>
        <w:t>We examined the amount of missing data from Dataset A and Dataset B</w:t>
      </w:r>
      <w:r w:rsidR="004079FC">
        <w:t xml:space="preserve"> </w:t>
      </w:r>
      <w:r w:rsidR="004079FC" w:rsidRPr="006213FC">
        <w:rPr>
          <w:rFonts w:ascii="Calibri" w:hAnsi="Calibri" w:cs="Calibri"/>
        </w:rPr>
        <w:t>to identify how much data is missing from critical data elements</w:t>
      </w:r>
      <w:r w:rsidR="0055770B">
        <w:rPr>
          <w:rFonts w:ascii="Calibri" w:hAnsi="Calibri" w:cs="Calibri"/>
        </w:rPr>
        <w:t xml:space="preserve"> (</w:t>
      </w:r>
      <w:hyperlink w:anchor="table5new" w:history="1">
        <w:r w:rsidR="005729C3">
          <w:rPr>
            <w:rStyle w:val="Hyperlink"/>
            <w:rFonts w:ascii="Calibri" w:hAnsi="Calibri" w:cs="Calibri"/>
          </w:rPr>
          <w:t>Table 5</w:t>
        </w:r>
      </w:hyperlink>
      <w:r w:rsidR="0055770B">
        <w:rPr>
          <w:rFonts w:ascii="Calibri" w:hAnsi="Calibri" w:cs="Calibri"/>
        </w:rPr>
        <w:t>)</w:t>
      </w:r>
      <w:r w:rsidR="004079FC" w:rsidRPr="006213FC">
        <w:rPr>
          <w:rFonts w:ascii="Calibri" w:hAnsi="Calibri" w:cs="Calibri"/>
        </w:rPr>
        <w:t xml:space="preserve">. If the data is not being captured, it lowers the validity of each data element. </w:t>
      </w:r>
    </w:p>
    <w:p w14:paraId="230FB3E6" w14:textId="31A44481" w:rsidR="002C1B51" w:rsidRDefault="000A53A2" w:rsidP="00B52BA6">
      <w:pPr>
        <w:pStyle w:val="Heading5"/>
      </w:pPr>
      <w:r>
        <w:t>4.10</w:t>
      </w:r>
      <w:r w:rsidR="002C1B51">
        <w:t>.2</w:t>
      </w:r>
      <w:r>
        <w:tab/>
      </w:r>
      <w:r w:rsidR="002C1B51">
        <w:t xml:space="preserve">Missing Data Analysis </w:t>
      </w:r>
    </w:p>
    <w:p w14:paraId="4C6AF01C" w14:textId="42F43573" w:rsidR="00F834DA" w:rsidRDefault="00F834DA" w:rsidP="00F834DA">
      <w:pPr>
        <w:pStyle w:val="Caption"/>
        <w:keepNext/>
      </w:pPr>
      <w:bookmarkStart w:id="49" w:name="table5new"/>
      <w:r>
        <w:t xml:space="preserve">Table </w:t>
      </w:r>
      <w:r w:rsidR="005729C3">
        <w:t>5</w:t>
      </w:r>
      <w:r w:rsidR="003166C1">
        <w:t>.</w:t>
      </w:r>
      <w:r>
        <w:t xml:space="preserve"> Amount of missing data for all </w:t>
      </w:r>
      <w:r w:rsidR="0055770B">
        <w:t>critical</w:t>
      </w:r>
      <w:r>
        <w:t xml:space="preserve"> data elements in </w:t>
      </w:r>
      <w:r w:rsidR="27468B42">
        <w:t>Datasets A and B</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3"/>
        <w:gridCol w:w="1837"/>
        <w:gridCol w:w="1834"/>
        <w:gridCol w:w="1834"/>
        <w:gridCol w:w="12"/>
      </w:tblGrid>
      <w:tr w:rsidR="001573C8" w:rsidRPr="00945659" w14:paraId="6597087B" w14:textId="77777777" w:rsidTr="1B174BA5">
        <w:trPr>
          <w:gridAfter w:val="1"/>
          <w:wAfter w:w="12" w:type="dxa"/>
          <w:trHeight w:val="302"/>
          <w:tblHeader/>
        </w:trPr>
        <w:tc>
          <w:tcPr>
            <w:tcW w:w="3833" w:type="dxa"/>
            <w:shd w:val="clear" w:color="auto" w:fill="323E4F" w:themeFill="text2" w:themeFillShade="BF"/>
            <w:noWrap/>
            <w:hideMark/>
          </w:tcPr>
          <w:bookmarkEnd w:id="49"/>
          <w:p w14:paraId="14DBD9BB" w14:textId="77777777" w:rsidR="001573C8" w:rsidRPr="00945659" w:rsidRDefault="001573C8">
            <w:pPr>
              <w:jc w:val="center"/>
              <w:rPr>
                <w:rFonts w:ascii="Calibri" w:hAnsi="Calibri" w:cs="Calibri"/>
                <w:b/>
                <w:bCs/>
                <w:color w:val="FFFFFF" w:themeColor="background1"/>
              </w:rPr>
            </w:pPr>
            <w:r w:rsidRPr="00945659">
              <w:rPr>
                <w:rFonts w:ascii="Calibri" w:hAnsi="Calibri" w:cs="Calibri"/>
                <w:b/>
                <w:bCs/>
                <w:color w:val="FFFFFF" w:themeColor="background1"/>
              </w:rPr>
              <w:t>Data elements</w:t>
            </w:r>
          </w:p>
        </w:tc>
        <w:tc>
          <w:tcPr>
            <w:tcW w:w="1837" w:type="dxa"/>
            <w:shd w:val="clear" w:color="auto" w:fill="323E4F" w:themeFill="text2" w:themeFillShade="BF"/>
            <w:noWrap/>
            <w:hideMark/>
          </w:tcPr>
          <w:p w14:paraId="513CA4E3" w14:textId="77777777" w:rsidR="001573C8" w:rsidRPr="00945659" w:rsidRDefault="001573C8">
            <w:pPr>
              <w:jc w:val="center"/>
              <w:rPr>
                <w:rFonts w:ascii="Calibri" w:hAnsi="Calibri" w:cs="Calibri"/>
                <w:b/>
                <w:bCs/>
                <w:color w:val="FFFFFF" w:themeColor="background1"/>
              </w:rPr>
            </w:pPr>
            <w:r w:rsidRPr="00945659">
              <w:rPr>
                <w:rFonts w:ascii="Calibri" w:hAnsi="Calibri" w:cs="Calibri"/>
                <w:b/>
                <w:bCs/>
                <w:color w:val="FFFFFF" w:themeColor="background1"/>
              </w:rPr>
              <w:t>% Missing, Dataset A, 2-years</w:t>
            </w:r>
          </w:p>
        </w:tc>
        <w:tc>
          <w:tcPr>
            <w:tcW w:w="1834" w:type="dxa"/>
            <w:shd w:val="clear" w:color="auto" w:fill="323E4F" w:themeFill="text2" w:themeFillShade="BF"/>
          </w:tcPr>
          <w:p w14:paraId="1E8E7D05" w14:textId="77777777" w:rsidR="001573C8" w:rsidRPr="00945659" w:rsidRDefault="001573C8">
            <w:pPr>
              <w:jc w:val="center"/>
              <w:rPr>
                <w:rFonts w:ascii="Calibri" w:hAnsi="Calibri" w:cs="Calibri"/>
                <w:b/>
                <w:color w:val="FFFFFF" w:themeColor="background1"/>
              </w:rPr>
            </w:pPr>
            <w:r w:rsidRPr="00945659">
              <w:rPr>
                <w:rFonts w:ascii="Calibri" w:hAnsi="Calibri" w:cs="Calibri"/>
                <w:b/>
                <w:color w:val="FFFFFF" w:themeColor="background1"/>
              </w:rPr>
              <w:t>% Missing, Dataset B</w:t>
            </w:r>
          </w:p>
        </w:tc>
        <w:tc>
          <w:tcPr>
            <w:tcW w:w="1834" w:type="dxa"/>
            <w:shd w:val="clear" w:color="auto" w:fill="323E4F" w:themeFill="text2" w:themeFillShade="BF"/>
          </w:tcPr>
          <w:p w14:paraId="5B5EF983" w14:textId="77777777" w:rsidR="001573C8" w:rsidRPr="00945659" w:rsidRDefault="001573C8">
            <w:pPr>
              <w:jc w:val="center"/>
              <w:rPr>
                <w:rFonts w:ascii="Calibri" w:hAnsi="Calibri" w:cs="Calibri"/>
                <w:b/>
                <w:color w:val="FFFFFF" w:themeColor="background1"/>
              </w:rPr>
            </w:pPr>
            <w:r w:rsidRPr="00945659">
              <w:rPr>
                <w:rFonts w:ascii="Calibri" w:hAnsi="Calibri" w:cs="Calibri"/>
                <w:b/>
                <w:color w:val="FFFFFF" w:themeColor="background1"/>
              </w:rPr>
              <w:t>% Missing, Dataset C</w:t>
            </w:r>
          </w:p>
        </w:tc>
      </w:tr>
      <w:tr w:rsidR="001573C8" w:rsidRPr="00945659" w14:paraId="57355025" w14:textId="77777777" w:rsidTr="1B174BA5">
        <w:trPr>
          <w:trHeight w:val="405"/>
        </w:trPr>
        <w:tc>
          <w:tcPr>
            <w:tcW w:w="9350" w:type="dxa"/>
            <w:gridSpan w:val="5"/>
            <w:shd w:val="clear" w:color="auto" w:fill="D9D9D9" w:themeFill="background1" w:themeFillShade="D9"/>
          </w:tcPr>
          <w:p w14:paraId="6E2D341E" w14:textId="77777777" w:rsidR="001573C8" w:rsidRPr="00945659" w:rsidRDefault="001573C8">
            <w:pPr>
              <w:jc w:val="center"/>
              <w:rPr>
                <w:rFonts w:ascii="Calibri" w:hAnsi="Calibri" w:cs="Calibri"/>
                <w:color w:val="000000"/>
              </w:rPr>
            </w:pPr>
            <w:r w:rsidRPr="00945659">
              <w:rPr>
                <w:rFonts w:ascii="Calibri" w:hAnsi="Calibri" w:cs="Calibri"/>
                <w:color w:val="000000"/>
              </w:rPr>
              <w:t>Patient-level data elements</w:t>
            </w:r>
          </w:p>
        </w:tc>
      </w:tr>
      <w:tr w:rsidR="001573C8" w:rsidRPr="00945659" w14:paraId="446D5B7C" w14:textId="77777777" w:rsidTr="1B174BA5">
        <w:trPr>
          <w:gridAfter w:val="1"/>
          <w:wAfter w:w="12" w:type="dxa"/>
          <w:trHeight w:val="302"/>
        </w:trPr>
        <w:tc>
          <w:tcPr>
            <w:tcW w:w="3833" w:type="dxa"/>
            <w:shd w:val="clear" w:color="auto" w:fill="auto"/>
            <w:noWrap/>
            <w:vAlign w:val="bottom"/>
            <w:hideMark/>
          </w:tcPr>
          <w:p w14:paraId="33506EFD" w14:textId="77777777" w:rsidR="001573C8" w:rsidRPr="00945659" w:rsidRDefault="001573C8">
            <w:pPr>
              <w:rPr>
                <w:rFonts w:ascii="Calibri" w:hAnsi="Calibri" w:cs="Calibri"/>
                <w:color w:val="000000"/>
              </w:rPr>
            </w:pPr>
            <w:r w:rsidRPr="00945659">
              <w:rPr>
                <w:rFonts w:ascii="Calibri" w:hAnsi="Calibri" w:cs="Calibri"/>
                <w:color w:val="000000"/>
              </w:rPr>
              <w:t>PT Chart number</w:t>
            </w:r>
          </w:p>
        </w:tc>
        <w:tc>
          <w:tcPr>
            <w:tcW w:w="1837" w:type="dxa"/>
            <w:shd w:val="clear" w:color="auto" w:fill="00B050"/>
            <w:noWrap/>
            <w:vAlign w:val="bottom"/>
            <w:hideMark/>
          </w:tcPr>
          <w:p w14:paraId="2FBEA7B1" w14:textId="77777777" w:rsidR="001573C8" w:rsidRPr="00945659" w:rsidRDefault="001573C8">
            <w:pPr>
              <w:jc w:val="right"/>
              <w:rPr>
                <w:rFonts w:ascii="Calibri" w:hAnsi="Calibri" w:cs="Calibri"/>
                <w:color w:val="000000"/>
              </w:rPr>
            </w:pPr>
            <w:r w:rsidRPr="00945659">
              <w:rPr>
                <w:rFonts w:ascii="Calibri" w:hAnsi="Calibri" w:cs="Calibri"/>
                <w:color w:val="000000"/>
              </w:rPr>
              <w:t>0</w:t>
            </w:r>
          </w:p>
        </w:tc>
        <w:tc>
          <w:tcPr>
            <w:tcW w:w="1834" w:type="dxa"/>
            <w:shd w:val="clear" w:color="auto" w:fill="00B050"/>
          </w:tcPr>
          <w:p w14:paraId="40340B97" w14:textId="77777777" w:rsidR="001573C8" w:rsidRPr="00945659" w:rsidRDefault="001573C8">
            <w:pPr>
              <w:jc w:val="right"/>
              <w:rPr>
                <w:rFonts w:ascii="Calibri" w:hAnsi="Calibri" w:cs="Calibri"/>
                <w:color w:val="000000"/>
              </w:rPr>
            </w:pPr>
            <w:r w:rsidRPr="00945659">
              <w:rPr>
                <w:rFonts w:ascii="Calibri" w:hAnsi="Calibri" w:cs="Calibri"/>
                <w:color w:val="000000"/>
              </w:rPr>
              <w:t>0</w:t>
            </w:r>
          </w:p>
        </w:tc>
        <w:tc>
          <w:tcPr>
            <w:tcW w:w="1834" w:type="dxa"/>
            <w:shd w:val="clear" w:color="auto" w:fill="00B050"/>
          </w:tcPr>
          <w:p w14:paraId="27AD74FA" w14:textId="77777777" w:rsidR="001573C8" w:rsidRPr="00945659" w:rsidRDefault="001573C8">
            <w:pPr>
              <w:jc w:val="right"/>
              <w:rPr>
                <w:rFonts w:ascii="Calibri" w:hAnsi="Calibri" w:cs="Calibri"/>
                <w:color w:val="000000"/>
              </w:rPr>
            </w:pPr>
            <w:r w:rsidRPr="00945659">
              <w:rPr>
                <w:rFonts w:ascii="Calibri" w:hAnsi="Calibri" w:cs="Calibri"/>
                <w:color w:val="000000"/>
              </w:rPr>
              <w:t>0</w:t>
            </w:r>
          </w:p>
        </w:tc>
      </w:tr>
      <w:tr w:rsidR="001573C8" w:rsidRPr="00945659" w14:paraId="460340F9" w14:textId="77777777" w:rsidTr="1B174BA5">
        <w:trPr>
          <w:gridAfter w:val="1"/>
          <w:wAfter w:w="12" w:type="dxa"/>
          <w:trHeight w:val="302"/>
        </w:trPr>
        <w:tc>
          <w:tcPr>
            <w:tcW w:w="3833" w:type="dxa"/>
            <w:shd w:val="clear" w:color="auto" w:fill="auto"/>
            <w:noWrap/>
            <w:vAlign w:val="bottom"/>
            <w:hideMark/>
          </w:tcPr>
          <w:p w14:paraId="325B7485" w14:textId="77777777" w:rsidR="001573C8" w:rsidRPr="00945659" w:rsidRDefault="001573C8">
            <w:pPr>
              <w:rPr>
                <w:rFonts w:ascii="Calibri" w:hAnsi="Calibri" w:cs="Calibri"/>
                <w:color w:val="000000"/>
              </w:rPr>
            </w:pPr>
            <w:r w:rsidRPr="00945659">
              <w:rPr>
                <w:rFonts w:ascii="Calibri" w:hAnsi="Calibri" w:cs="Calibri"/>
                <w:color w:val="000000"/>
              </w:rPr>
              <w:t>PT Medical Record Number</w:t>
            </w:r>
          </w:p>
        </w:tc>
        <w:tc>
          <w:tcPr>
            <w:tcW w:w="1837" w:type="dxa"/>
            <w:shd w:val="clear" w:color="auto" w:fill="00B050"/>
            <w:noWrap/>
            <w:vAlign w:val="bottom"/>
            <w:hideMark/>
          </w:tcPr>
          <w:p w14:paraId="7991EF4D" w14:textId="77777777" w:rsidR="001573C8" w:rsidRPr="00945659" w:rsidRDefault="001573C8">
            <w:pPr>
              <w:jc w:val="right"/>
              <w:rPr>
                <w:rFonts w:ascii="Calibri" w:hAnsi="Calibri" w:cs="Calibri"/>
                <w:color w:val="000000"/>
              </w:rPr>
            </w:pPr>
            <w:r w:rsidRPr="00945659">
              <w:rPr>
                <w:rFonts w:ascii="Calibri" w:hAnsi="Calibri" w:cs="Calibri"/>
                <w:color w:val="000000"/>
              </w:rPr>
              <w:t>0</w:t>
            </w:r>
          </w:p>
        </w:tc>
        <w:tc>
          <w:tcPr>
            <w:tcW w:w="1834" w:type="dxa"/>
            <w:shd w:val="clear" w:color="auto" w:fill="00B050"/>
          </w:tcPr>
          <w:p w14:paraId="6E9646C5" w14:textId="77777777" w:rsidR="001573C8" w:rsidRPr="00945659" w:rsidRDefault="001573C8">
            <w:pPr>
              <w:jc w:val="right"/>
              <w:rPr>
                <w:rFonts w:ascii="Calibri" w:hAnsi="Calibri" w:cs="Calibri"/>
                <w:color w:val="000000"/>
              </w:rPr>
            </w:pPr>
            <w:r w:rsidRPr="00945659">
              <w:rPr>
                <w:rFonts w:ascii="Calibri" w:hAnsi="Calibri" w:cs="Calibri"/>
                <w:color w:val="000000"/>
              </w:rPr>
              <w:t>0</w:t>
            </w:r>
          </w:p>
        </w:tc>
        <w:tc>
          <w:tcPr>
            <w:tcW w:w="1834" w:type="dxa"/>
            <w:shd w:val="clear" w:color="auto" w:fill="00B050"/>
          </w:tcPr>
          <w:p w14:paraId="1625DFB1" w14:textId="77777777" w:rsidR="001573C8" w:rsidRPr="00945659" w:rsidRDefault="001573C8">
            <w:pPr>
              <w:jc w:val="right"/>
              <w:rPr>
                <w:rFonts w:ascii="Calibri" w:hAnsi="Calibri" w:cs="Calibri"/>
                <w:color w:val="000000"/>
              </w:rPr>
            </w:pPr>
            <w:r w:rsidRPr="00945659">
              <w:rPr>
                <w:rFonts w:ascii="Calibri" w:hAnsi="Calibri" w:cs="Calibri"/>
                <w:color w:val="000000"/>
              </w:rPr>
              <w:t>0</w:t>
            </w:r>
          </w:p>
        </w:tc>
      </w:tr>
      <w:tr w:rsidR="001573C8" w:rsidRPr="00945659" w14:paraId="3B9DFFFF" w14:textId="77777777" w:rsidTr="1B174BA5">
        <w:trPr>
          <w:gridAfter w:val="1"/>
          <w:wAfter w:w="12" w:type="dxa"/>
          <w:trHeight w:val="302"/>
        </w:trPr>
        <w:tc>
          <w:tcPr>
            <w:tcW w:w="3833" w:type="dxa"/>
            <w:shd w:val="clear" w:color="auto" w:fill="auto"/>
            <w:noWrap/>
            <w:vAlign w:val="bottom"/>
            <w:hideMark/>
          </w:tcPr>
          <w:p w14:paraId="05E068BA" w14:textId="77777777" w:rsidR="001573C8" w:rsidRPr="00945659" w:rsidRDefault="001573C8">
            <w:pPr>
              <w:rPr>
                <w:rFonts w:ascii="Calibri" w:hAnsi="Calibri" w:cs="Calibri"/>
                <w:color w:val="000000"/>
              </w:rPr>
            </w:pPr>
            <w:r w:rsidRPr="00945659">
              <w:rPr>
                <w:rFonts w:ascii="Calibri" w:hAnsi="Calibri" w:cs="Calibri"/>
                <w:color w:val="000000"/>
              </w:rPr>
              <w:t>PT Date of Birth</w:t>
            </w:r>
          </w:p>
        </w:tc>
        <w:tc>
          <w:tcPr>
            <w:tcW w:w="1837" w:type="dxa"/>
            <w:shd w:val="clear" w:color="auto" w:fill="00B050"/>
            <w:noWrap/>
            <w:vAlign w:val="bottom"/>
            <w:hideMark/>
          </w:tcPr>
          <w:p w14:paraId="0D1E5A00" w14:textId="77777777" w:rsidR="001573C8" w:rsidRPr="00945659" w:rsidRDefault="001573C8">
            <w:pPr>
              <w:jc w:val="right"/>
              <w:rPr>
                <w:rFonts w:ascii="Calibri" w:hAnsi="Calibri" w:cs="Calibri"/>
                <w:color w:val="000000"/>
              </w:rPr>
            </w:pPr>
            <w:r w:rsidRPr="00945659">
              <w:rPr>
                <w:rFonts w:ascii="Calibri" w:hAnsi="Calibri" w:cs="Calibri"/>
                <w:color w:val="000000"/>
              </w:rPr>
              <w:t>0</w:t>
            </w:r>
          </w:p>
        </w:tc>
        <w:tc>
          <w:tcPr>
            <w:tcW w:w="1834" w:type="dxa"/>
            <w:shd w:val="clear" w:color="auto" w:fill="00B050"/>
          </w:tcPr>
          <w:p w14:paraId="606F6ED7" w14:textId="77777777" w:rsidR="001573C8" w:rsidRPr="00945659" w:rsidRDefault="001573C8">
            <w:pPr>
              <w:jc w:val="right"/>
              <w:rPr>
                <w:rFonts w:ascii="Calibri" w:hAnsi="Calibri" w:cs="Calibri"/>
                <w:color w:val="000000"/>
              </w:rPr>
            </w:pPr>
            <w:r w:rsidRPr="00945659">
              <w:rPr>
                <w:rFonts w:ascii="Calibri" w:hAnsi="Calibri" w:cs="Calibri"/>
                <w:color w:val="000000"/>
              </w:rPr>
              <w:t>0</w:t>
            </w:r>
          </w:p>
        </w:tc>
        <w:tc>
          <w:tcPr>
            <w:tcW w:w="1834" w:type="dxa"/>
            <w:shd w:val="clear" w:color="auto" w:fill="00B050"/>
          </w:tcPr>
          <w:p w14:paraId="2DFC1AD4" w14:textId="77777777" w:rsidR="001573C8" w:rsidRPr="00945659" w:rsidRDefault="001573C8">
            <w:pPr>
              <w:jc w:val="right"/>
              <w:rPr>
                <w:rFonts w:ascii="Calibri" w:hAnsi="Calibri" w:cs="Calibri"/>
                <w:color w:val="000000"/>
              </w:rPr>
            </w:pPr>
            <w:r w:rsidRPr="00945659">
              <w:rPr>
                <w:rFonts w:ascii="Calibri" w:hAnsi="Calibri" w:cs="Calibri"/>
                <w:color w:val="000000"/>
              </w:rPr>
              <w:t>0</w:t>
            </w:r>
          </w:p>
        </w:tc>
      </w:tr>
      <w:tr w:rsidR="001573C8" w:rsidRPr="00945659" w14:paraId="45E3666C" w14:textId="77777777" w:rsidTr="1B174BA5">
        <w:trPr>
          <w:trHeight w:val="369"/>
        </w:trPr>
        <w:tc>
          <w:tcPr>
            <w:tcW w:w="9350" w:type="dxa"/>
            <w:gridSpan w:val="5"/>
            <w:shd w:val="clear" w:color="auto" w:fill="D9D9D9" w:themeFill="background1" w:themeFillShade="D9"/>
          </w:tcPr>
          <w:p w14:paraId="3772B054" w14:textId="77777777" w:rsidR="001573C8" w:rsidRPr="00945659" w:rsidRDefault="001573C8">
            <w:pPr>
              <w:jc w:val="center"/>
              <w:rPr>
                <w:rFonts w:ascii="Calibri" w:hAnsi="Calibri" w:cs="Calibri"/>
                <w:color w:val="000000"/>
              </w:rPr>
            </w:pPr>
            <w:r w:rsidRPr="00945659">
              <w:rPr>
                <w:rFonts w:ascii="Calibri" w:hAnsi="Calibri" w:cs="Calibri"/>
                <w:color w:val="000000"/>
              </w:rPr>
              <w:t>Encounter-level data elements</w:t>
            </w:r>
          </w:p>
        </w:tc>
      </w:tr>
      <w:tr w:rsidR="001573C8" w:rsidRPr="00945659" w14:paraId="0CD428AD" w14:textId="77777777" w:rsidTr="1B174BA5">
        <w:trPr>
          <w:gridAfter w:val="1"/>
          <w:wAfter w:w="12" w:type="dxa"/>
          <w:trHeight w:val="302"/>
        </w:trPr>
        <w:tc>
          <w:tcPr>
            <w:tcW w:w="3833" w:type="dxa"/>
            <w:shd w:val="clear" w:color="auto" w:fill="auto"/>
            <w:noWrap/>
            <w:vAlign w:val="bottom"/>
            <w:hideMark/>
          </w:tcPr>
          <w:p w14:paraId="3FDD2A41" w14:textId="77777777" w:rsidR="001573C8" w:rsidRPr="00945659" w:rsidRDefault="001573C8">
            <w:pPr>
              <w:rPr>
                <w:rFonts w:ascii="Calibri" w:hAnsi="Calibri" w:cs="Calibri"/>
                <w:color w:val="000000"/>
              </w:rPr>
            </w:pPr>
            <w:r w:rsidRPr="00945659">
              <w:rPr>
                <w:rFonts w:ascii="Calibri" w:hAnsi="Calibri" w:cs="Calibri"/>
                <w:color w:val="000000"/>
              </w:rPr>
              <w:t>EHR ED Disposition</w:t>
            </w:r>
          </w:p>
        </w:tc>
        <w:tc>
          <w:tcPr>
            <w:tcW w:w="1837" w:type="dxa"/>
            <w:shd w:val="clear" w:color="auto" w:fill="00B050"/>
            <w:noWrap/>
            <w:vAlign w:val="bottom"/>
            <w:hideMark/>
          </w:tcPr>
          <w:p w14:paraId="22AAE478" w14:textId="77777777" w:rsidR="001573C8" w:rsidRPr="00945659" w:rsidRDefault="001573C8">
            <w:pPr>
              <w:jc w:val="right"/>
              <w:rPr>
                <w:rFonts w:ascii="Calibri" w:hAnsi="Calibri" w:cs="Calibri"/>
                <w:color w:val="000000"/>
              </w:rPr>
            </w:pPr>
            <w:r w:rsidRPr="00945659">
              <w:rPr>
                <w:rFonts w:ascii="Calibri" w:hAnsi="Calibri" w:cs="Calibri"/>
                <w:color w:val="000000"/>
              </w:rPr>
              <w:t>0</w:t>
            </w:r>
          </w:p>
        </w:tc>
        <w:tc>
          <w:tcPr>
            <w:tcW w:w="1834" w:type="dxa"/>
            <w:shd w:val="clear" w:color="auto" w:fill="00B050"/>
          </w:tcPr>
          <w:p w14:paraId="110B95CE" w14:textId="77777777" w:rsidR="001573C8" w:rsidRPr="00945659" w:rsidRDefault="001573C8">
            <w:pPr>
              <w:jc w:val="right"/>
              <w:rPr>
                <w:rFonts w:ascii="Calibri" w:hAnsi="Calibri" w:cs="Calibri"/>
                <w:color w:val="000000"/>
              </w:rPr>
            </w:pPr>
            <w:r w:rsidRPr="00945659">
              <w:rPr>
                <w:rFonts w:ascii="Calibri" w:hAnsi="Calibri" w:cs="Calibri"/>
                <w:color w:val="000000"/>
              </w:rPr>
              <w:t>0</w:t>
            </w:r>
          </w:p>
        </w:tc>
        <w:tc>
          <w:tcPr>
            <w:tcW w:w="1834" w:type="dxa"/>
            <w:shd w:val="clear" w:color="auto" w:fill="00B050"/>
          </w:tcPr>
          <w:p w14:paraId="047EBAE2" w14:textId="77777777" w:rsidR="001573C8" w:rsidRPr="00945659" w:rsidRDefault="001573C8">
            <w:pPr>
              <w:jc w:val="right"/>
              <w:rPr>
                <w:rFonts w:ascii="Calibri" w:hAnsi="Calibri" w:cs="Calibri"/>
                <w:color w:val="000000"/>
              </w:rPr>
            </w:pPr>
            <w:r w:rsidRPr="00945659">
              <w:rPr>
                <w:rFonts w:ascii="Calibri" w:hAnsi="Calibri" w:cs="Calibri"/>
                <w:color w:val="000000"/>
              </w:rPr>
              <w:t>0</w:t>
            </w:r>
          </w:p>
        </w:tc>
      </w:tr>
      <w:tr w:rsidR="001573C8" w:rsidRPr="00945659" w14:paraId="05A35ABD" w14:textId="77777777" w:rsidTr="1B174BA5">
        <w:trPr>
          <w:gridAfter w:val="1"/>
          <w:wAfter w:w="12" w:type="dxa"/>
          <w:trHeight w:val="302"/>
        </w:trPr>
        <w:tc>
          <w:tcPr>
            <w:tcW w:w="3833" w:type="dxa"/>
            <w:shd w:val="clear" w:color="auto" w:fill="auto"/>
            <w:noWrap/>
            <w:vAlign w:val="bottom"/>
            <w:hideMark/>
          </w:tcPr>
          <w:p w14:paraId="42292DA5" w14:textId="77777777" w:rsidR="001573C8" w:rsidRPr="00945659" w:rsidRDefault="001573C8">
            <w:pPr>
              <w:rPr>
                <w:rFonts w:ascii="Calibri" w:hAnsi="Calibri" w:cs="Calibri"/>
                <w:color w:val="000000"/>
              </w:rPr>
            </w:pPr>
            <w:r w:rsidRPr="00945659">
              <w:rPr>
                <w:rFonts w:ascii="Calibri" w:hAnsi="Calibri" w:cs="Calibri"/>
                <w:color w:val="000000"/>
              </w:rPr>
              <w:t>Arrival Time</w:t>
            </w:r>
          </w:p>
        </w:tc>
        <w:tc>
          <w:tcPr>
            <w:tcW w:w="1837" w:type="dxa"/>
            <w:shd w:val="clear" w:color="auto" w:fill="00B050"/>
            <w:noWrap/>
            <w:vAlign w:val="bottom"/>
            <w:hideMark/>
          </w:tcPr>
          <w:p w14:paraId="40C8E0A4" w14:textId="77777777" w:rsidR="001573C8" w:rsidRPr="00945659" w:rsidRDefault="001573C8">
            <w:pPr>
              <w:jc w:val="right"/>
              <w:rPr>
                <w:rFonts w:ascii="Calibri" w:hAnsi="Calibri" w:cs="Calibri"/>
                <w:color w:val="000000"/>
              </w:rPr>
            </w:pPr>
            <w:r w:rsidRPr="00945659">
              <w:rPr>
                <w:rFonts w:ascii="Calibri" w:hAnsi="Calibri" w:cs="Calibri"/>
                <w:color w:val="000000"/>
              </w:rPr>
              <w:t>0</w:t>
            </w:r>
          </w:p>
        </w:tc>
        <w:tc>
          <w:tcPr>
            <w:tcW w:w="1834" w:type="dxa"/>
            <w:shd w:val="clear" w:color="auto" w:fill="00B050"/>
          </w:tcPr>
          <w:p w14:paraId="755EDB47" w14:textId="77777777" w:rsidR="001573C8" w:rsidRPr="00945659" w:rsidRDefault="001573C8">
            <w:pPr>
              <w:jc w:val="right"/>
              <w:rPr>
                <w:rFonts w:ascii="Calibri" w:hAnsi="Calibri" w:cs="Calibri"/>
                <w:color w:val="000000"/>
              </w:rPr>
            </w:pPr>
            <w:r w:rsidRPr="00945659">
              <w:rPr>
                <w:rFonts w:ascii="Calibri" w:hAnsi="Calibri" w:cs="Calibri"/>
                <w:color w:val="000000"/>
              </w:rPr>
              <w:t>0</w:t>
            </w:r>
          </w:p>
        </w:tc>
        <w:tc>
          <w:tcPr>
            <w:tcW w:w="1834" w:type="dxa"/>
            <w:shd w:val="clear" w:color="auto" w:fill="00B050"/>
          </w:tcPr>
          <w:p w14:paraId="530F1B9E" w14:textId="77777777" w:rsidR="001573C8" w:rsidRPr="00945659" w:rsidRDefault="001573C8">
            <w:pPr>
              <w:jc w:val="right"/>
              <w:rPr>
                <w:rFonts w:ascii="Calibri" w:hAnsi="Calibri" w:cs="Calibri"/>
                <w:color w:val="000000"/>
              </w:rPr>
            </w:pPr>
            <w:r w:rsidRPr="00945659">
              <w:rPr>
                <w:rFonts w:ascii="Calibri" w:hAnsi="Calibri" w:cs="Calibri"/>
                <w:color w:val="000000"/>
              </w:rPr>
              <w:t>0</w:t>
            </w:r>
          </w:p>
        </w:tc>
      </w:tr>
      <w:tr w:rsidR="001573C8" w:rsidRPr="00945659" w14:paraId="1B5545DE" w14:textId="77777777" w:rsidTr="1B174BA5">
        <w:trPr>
          <w:gridAfter w:val="1"/>
          <w:wAfter w:w="12" w:type="dxa"/>
          <w:trHeight w:val="302"/>
        </w:trPr>
        <w:tc>
          <w:tcPr>
            <w:tcW w:w="3833" w:type="dxa"/>
            <w:shd w:val="clear" w:color="auto" w:fill="auto"/>
            <w:noWrap/>
            <w:vAlign w:val="bottom"/>
            <w:hideMark/>
          </w:tcPr>
          <w:p w14:paraId="66DCAC12" w14:textId="77777777" w:rsidR="001573C8" w:rsidRPr="00945659" w:rsidRDefault="001573C8">
            <w:pPr>
              <w:rPr>
                <w:rFonts w:ascii="Calibri" w:hAnsi="Calibri" w:cs="Calibri"/>
                <w:color w:val="000000"/>
              </w:rPr>
            </w:pPr>
            <w:r w:rsidRPr="00945659">
              <w:rPr>
                <w:rFonts w:ascii="Calibri" w:hAnsi="Calibri" w:cs="Calibri"/>
                <w:color w:val="000000"/>
              </w:rPr>
              <w:t>First ED Room Time</w:t>
            </w:r>
          </w:p>
        </w:tc>
        <w:tc>
          <w:tcPr>
            <w:tcW w:w="1837" w:type="dxa"/>
            <w:shd w:val="clear" w:color="auto" w:fill="00B050"/>
            <w:noWrap/>
            <w:vAlign w:val="bottom"/>
            <w:hideMark/>
          </w:tcPr>
          <w:p w14:paraId="3AC21D35" w14:textId="77777777" w:rsidR="001573C8" w:rsidRPr="00945659" w:rsidRDefault="001573C8">
            <w:pPr>
              <w:jc w:val="right"/>
              <w:rPr>
                <w:rFonts w:ascii="Calibri" w:hAnsi="Calibri" w:cs="Calibri"/>
                <w:color w:val="000000"/>
              </w:rPr>
            </w:pPr>
            <w:r w:rsidRPr="00945659">
              <w:rPr>
                <w:rFonts w:ascii="Calibri" w:hAnsi="Calibri" w:cs="Calibri"/>
                <w:color w:val="000000"/>
              </w:rPr>
              <w:t>3.17</w:t>
            </w:r>
          </w:p>
        </w:tc>
        <w:tc>
          <w:tcPr>
            <w:tcW w:w="1834" w:type="dxa"/>
            <w:shd w:val="clear" w:color="auto" w:fill="00B050"/>
          </w:tcPr>
          <w:p w14:paraId="43E75EF5" w14:textId="77777777" w:rsidR="001573C8" w:rsidRPr="00945659" w:rsidRDefault="001573C8">
            <w:pPr>
              <w:jc w:val="right"/>
              <w:rPr>
                <w:rFonts w:ascii="Calibri" w:hAnsi="Calibri" w:cs="Calibri"/>
                <w:color w:val="000000"/>
              </w:rPr>
            </w:pPr>
            <w:r w:rsidRPr="00945659">
              <w:rPr>
                <w:rFonts w:ascii="Calibri" w:hAnsi="Calibri" w:cs="Calibri"/>
                <w:color w:val="000000"/>
              </w:rPr>
              <w:t>0</w:t>
            </w:r>
          </w:p>
        </w:tc>
        <w:tc>
          <w:tcPr>
            <w:tcW w:w="1834" w:type="dxa"/>
            <w:shd w:val="clear" w:color="auto" w:fill="00B050"/>
          </w:tcPr>
          <w:p w14:paraId="1E32BBA4" w14:textId="77777777" w:rsidR="001573C8" w:rsidRPr="00945659" w:rsidRDefault="001573C8">
            <w:pPr>
              <w:jc w:val="right"/>
              <w:rPr>
                <w:rFonts w:ascii="Calibri" w:hAnsi="Calibri" w:cs="Calibri"/>
                <w:color w:val="000000"/>
              </w:rPr>
            </w:pPr>
            <w:r w:rsidRPr="00945659">
              <w:rPr>
                <w:rFonts w:ascii="Calibri" w:hAnsi="Calibri" w:cs="Calibri"/>
                <w:color w:val="000000"/>
              </w:rPr>
              <w:t>0</w:t>
            </w:r>
          </w:p>
        </w:tc>
      </w:tr>
      <w:tr w:rsidR="001573C8" w:rsidRPr="00945659" w14:paraId="36BE6D3A" w14:textId="77777777" w:rsidTr="1B174BA5">
        <w:trPr>
          <w:gridAfter w:val="1"/>
          <w:wAfter w:w="12" w:type="dxa"/>
          <w:trHeight w:val="302"/>
        </w:trPr>
        <w:tc>
          <w:tcPr>
            <w:tcW w:w="3833" w:type="dxa"/>
            <w:shd w:val="clear" w:color="auto" w:fill="auto"/>
            <w:noWrap/>
            <w:vAlign w:val="bottom"/>
            <w:hideMark/>
          </w:tcPr>
          <w:p w14:paraId="31660D79" w14:textId="77777777" w:rsidR="001573C8" w:rsidRPr="00945659" w:rsidRDefault="001573C8">
            <w:pPr>
              <w:rPr>
                <w:rFonts w:ascii="Calibri" w:hAnsi="Calibri" w:cs="Calibri"/>
                <w:color w:val="000000"/>
              </w:rPr>
            </w:pPr>
            <w:r w:rsidRPr="00945659">
              <w:rPr>
                <w:rFonts w:ascii="Calibri" w:hAnsi="Calibri" w:cs="Calibri"/>
                <w:color w:val="000000"/>
              </w:rPr>
              <w:t>Documented Decision to admit time</w:t>
            </w:r>
          </w:p>
        </w:tc>
        <w:tc>
          <w:tcPr>
            <w:tcW w:w="1837" w:type="dxa"/>
            <w:shd w:val="clear" w:color="auto" w:fill="00B050"/>
            <w:noWrap/>
            <w:vAlign w:val="bottom"/>
            <w:hideMark/>
          </w:tcPr>
          <w:p w14:paraId="331F9ACC" w14:textId="77777777" w:rsidR="001573C8" w:rsidRPr="00945659" w:rsidRDefault="001573C8">
            <w:pPr>
              <w:jc w:val="right"/>
              <w:rPr>
                <w:rFonts w:ascii="Calibri" w:hAnsi="Calibri" w:cs="Calibri"/>
                <w:color w:val="000000"/>
              </w:rPr>
            </w:pPr>
            <w:r w:rsidRPr="00945659">
              <w:rPr>
                <w:rFonts w:ascii="Calibri" w:hAnsi="Calibri" w:cs="Calibri"/>
                <w:color w:val="000000"/>
              </w:rPr>
              <w:t>6.28</w:t>
            </w:r>
          </w:p>
        </w:tc>
        <w:tc>
          <w:tcPr>
            <w:tcW w:w="1834" w:type="dxa"/>
            <w:shd w:val="clear" w:color="auto" w:fill="00B050"/>
          </w:tcPr>
          <w:p w14:paraId="5E8254A8" w14:textId="77777777" w:rsidR="001573C8" w:rsidRPr="00945659" w:rsidRDefault="001573C8">
            <w:pPr>
              <w:jc w:val="right"/>
              <w:rPr>
                <w:rFonts w:ascii="Calibri" w:hAnsi="Calibri" w:cs="Calibri"/>
                <w:color w:val="000000"/>
              </w:rPr>
            </w:pPr>
            <w:r w:rsidRPr="00945659">
              <w:rPr>
                <w:rFonts w:ascii="Calibri" w:hAnsi="Calibri" w:cs="Calibri"/>
                <w:color w:val="000000"/>
              </w:rPr>
              <w:t>0</w:t>
            </w:r>
          </w:p>
        </w:tc>
        <w:tc>
          <w:tcPr>
            <w:tcW w:w="1834" w:type="dxa"/>
            <w:shd w:val="clear" w:color="auto" w:fill="00B050"/>
          </w:tcPr>
          <w:p w14:paraId="48F694FC" w14:textId="77777777" w:rsidR="001573C8" w:rsidRPr="00945659" w:rsidRDefault="001573C8">
            <w:pPr>
              <w:jc w:val="right"/>
              <w:rPr>
                <w:rFonts w:ascii="Calibri" w:hAnsi="Calibri" w:cs="Calibri"/>
                <w:color w:val="000000"/>
              </w:rPr>
            </w:pPr>
            <w:r w:rsidRPr="00945659">
              <w:rPr>
                <w:rFonts w:ascii="Calibri" w:hAnsi="Calibri" w:cs="Calibri"/>
                <w:color w:val="000000"/>
              </w:rPr>
              <w:t>0</w:t>
            </w:r>
          </w:p>
        </w:tc>
      </w:tr>
      <w:tr w:rsidR="001573C8" w:rsidRPr="00945659" w14:paraId="5E881CE0" w14:textId="77777777" w:rsidTr="1B174BA5">
        <w:trPr>
          <w:gridAfter w:val="1"/>
          <w:wAfter w:w="12" w:type="dxa"/>
          <w:trHeight w:val="302"/>
        </w:trPr>
        <w:tc>
          <w:tcPr>
            <w:tcW w:w="3833" w:type="dxa"/>
            <w:shd w:val="clear" w:color="auto" w:fill="auto"/>
            <w:noWrap/>
            <w:vAlign w:val="bottom"/>
            <w:hideMark/>
          </w:tcPr>
          <w:p w14:paraId="42711034" w14:textId="77777777" w:rsidR="001573C8" w:rsidRPr="00945659" w:rsidRDefault="001573C8">
            <w:pPr>
              <w:rPr>
                <w:rFonts w:ascii="Calibri" w:hAnsi="Calibri" w:cs="Calibri"/>
                <w:color w:val="000000"/>
              </w:rPr>
            </w:pPr>
            <w:r w:rsidRPr="00945659">
              <w:rPr>
                <w:rFonts w:ascii="Calibri" w:hAnsi="Calibri" w:cs="Calibri"/>
                <w:color w:val="000000"/>
              </w:rPr>
              <w:t>Patient Left the ED Time</w:t>
            </w:r>
          </w:p>
        </w:tc>
        <w:tc>
          <w:tcPr>
            <w:tcW w:w="1837" w:type="dxa"/>
            <w:shd w:val="clear" w:color="auto" w:fill="00B050"/>
            <w:noWrap/>
            <w:vAlign w:val="bottom"/>
            <w:hideMark/>
          </w:tcPr>
          <w:p w14:paraId="06877555" w14:textId="77777777" w:rsidR="001573C8" w:rsidRPr="00945659" w:rsidRDefault="001573C8">
            <w:pPr>
              <w:jc w:val="right"/>
              <w:rPr>
                <w:rFonts w:ascii="Calibri" w:hAnsi="Calibri" w:cs="Calibri"/>
                <w:color w:val="000000"/>
              </w:rPr>
            </w:pPr>
            <w:r w:rsidRPr="00945659">
              <w:rPr>
                <w:rFonts w:ascii="Calibri" w:hAnsi="Calibri" w:cs="Calibri"/>
                <w:color w:val="000000"/>
              </w:rPr>
              <w:t>0.25</w:t>
            </w:r>
          </w:p>
        </w:tc>
        <w:tc>
          <w:tcPr>
            <w:tcW w:w="1834" w:type="dxa"/>
            <w:shd w:val="clear" w:color="auto" w:fill="00B050"/>
          </w:tcPr>
          <w:p w14:paraId="15ACFA93" w14:textId="77777777" w:rsidR="001573C8" w:rsidRPr="00945659" w:rsidRDefault="001573C8">
            <w:pPr>
              <w:jc w:val="right"/>
              <w:rPr>
                <w:rFonts w:ascii="Calibri" w:hAnsi="Calibri" w:cs="Calibri"/>
                <w:color w:val="000000"/>
              </w:rPr>
            </w:pPr>
            <w:r w:rsidRPr="00945659">
              <w:rPr>
                <w:rFonts w:ascii="Calibri" w:hAnsi="Calibri" w:cs="Calibri"/>
                <w:color w:val="000000"/>
              </w:rPr>
              <w:t>0</w:t>
            </w:r>
          </w:p>
        </w:tc>
        <w:tc>
          <w:tcPr>
            <w:tcW w:w="1834" w:type="dxa"/>
            <w:shd w:val="clear" w:color="auto" w:fill="00B050"/>
          </w:tcPr>
          <w:p w14:paraId="281591D3" w14:textId="77777777" w:rsidR="001573C8" w:rsidRPr="00945659" w:rsidRDefault="001573C8">
            <w:pPr>
              <w:jc w:val="right"/>
              <w:rPr>
                <w:rFonts w:ascii="Calibri" w:hAnsi="Calibri" w:cs="Calibri"/>
                <w:color w:val="000000"/>
              </w:rPr>
            </w:pPr>
            <w:r w:rsidRPr="00945659">
              <w:rPr>
                <w:rFonts w:ascii="Calibri" w:hAnsi="Calibri" w:cs="Calibri"/>
                <w:color w:val="000000"/>
              </w:rPr>
              <w:t>0</w:t>
            </w:r>
          </w:p>
        </w:tc>
      </w:tr>
    </w:tbl>
    <w:p w14:paraId="424BA805" w14:textId="1CCF8F23" w:rsidR="1B174BA5" w:rsidRDefault="1B174BA5" w:rsidP="1B174BA5">
      <w:pPr>
        <w:pStyle w:val="Heading5"/>
      </w:pPr>
    </w:p>
    <w:p w14:paraId="67E46212" w14:textId="77777777" w:rsidR="006F7A09" w:rsidRDefault="000A53A2" w:rsidP="006F7A09">
      <w:pPr>
        <w:pStyle w:val="Heading5"/>
      </w:pPr>
      <w:r>
        <w:t>4.10</w:t>
      </w:r>
      <w:r w:rsidR="002C1B51">
        <w:t>.3</w:t>
      </w:r>
      <w:r>
        <w:tab/>
      </w:r>
      <w:r w:rsidR="002C1B51">
        <w:t xml:space="preserve">Interpretation </w:t>
      </w:r>
    </w:p>
    <w:p w14:paraId="4B968E06" w14:textId="78A187D1" w:rsidR="006F7A09" w:rsidRDefault="006F7A09" w:rsidP="006F7A09">
      <w:pPr>
        <w:pStyle w:val="Heading5"/>
      </w:pPr>
      <w:r>
        <w:t>All data elements required for measure calculation have less than 7% missing, which is considered very good. Although the breakdown by site is not shown, rural hospitals were not systematically missing data compared to non-rural sites. Dataset A systematically did not have access to race, ethnicity, and language at many sites at time of data extraction, due to problem with HL7 interface during that time span; this issue has since been resolved and is able to be extracted on all patients with those data recorded.</w:t>
      </w:r>
    </w:p>
    <w:p w14:paraId="14AFB759" w14:textId="50CB0867" w:rsidR="002C1B51" w:rsidRPr="008468E0" w:rsidRDefault="002C1B51" w:rsidP="00C23C64">
      <w:pPr>
        <w:pStyle w:val="Heading3"/>
        <w:rPr>
          <w:i/>
          <w:iCs/>
        </w:rPr>
      </w:pPr>
      <w:r w:rsidRPr="00C23C64">
        <w:t>Feasibility</w:t>
      </w:r>
    </w:p>
    <w:p w14:paraId="56081CD4" w14:textId="33BF5AAF" w:rsidR="002C1B51" w:rsidRPr="000D3D01" w:rsidRDefault="000A53A2" w:rsidP="00B52BA6">
      <w:pPr>
        <w:pStyle w:val="Heading4"/>
      </w:pPr>
      <w:bookmarkStart w:id="50" w:name="_Hlk503277271"/>
      <w:r>
        <w:t>5</w:t>
      </w:r>
      <w:r w:rsidR="002C1B51" w:rsidRPr="000D3D01">
        <w:t>.1</w:t>
      </w:r>
      <w:r w:rsidR="002C1B51">
        <w:tab/>
      </w:r>
      <w:r w:rsidR="002C1B51" w:rsidRPr="003E4F33">
        <w:t>Data</w:t>
      </w:r>
      <w:r w:rsidR="002C1B51" w:rsidRPr="000D3D01">
        <w:t xml:space="preserve"> Elements Generated as Byproduct of Care Processes </w:t>
      </w:r>
      <w:bookmarkEnd w:id="50"/>
    </w:p>
    <w:p w14:paraId="0B2B13D5" w14:textId="294CC58C" w:rsidR="002C1B51" w:rsidRDefault="002C1B51" w:rsidP="002C1B51">
      <w:pPr>
        <w:pStyle w:val="BlueprintText"/>
      </w:pPr>
      <w:r>
        <w:t>Data used in the measure are (</w:t>
      </w:r>
      <w:r w:rsidR="006F778C">
        <w:t>check</w:t>
      </w:r>
      <w:r>
        <w:t xml:space="preserve"> all that apply)</w:t>
      </w:r>
    </w:p>
    <w:p w14:paraId="0F8AADC2" w14:textId="42E38E5E" w:rsidR="00960927" w:rsidRDefault="00960927" w:rsidP="002C1B51">
      <w:pPr>
        <w:pStyle w:val="BlueprintText"/>
      </w:pPr>
      <w:r w:rsidRPr="00A21AD9">
        <w:t>Select.</w:t>
      </w:r>
    </w:p>
    <w:p w14:paraId="0EA4840F" w14:textId="51EC2140" w:rsidR="002C1B51" w:rsidRPr="00112D5D" w:rsidRDefault="00D95B04" w:rsidP="00A4036D">
      <w:pPr>
        <w:pStyle w:val="ListBullet"/>
        <w:numPr>
          <w:ilvl w:val="0"/>
          <w:numId w:val="0"/>
        </w:numPr>
        <w:ind w:left="360"/>
        <w:rPr>
          <w:b/>
          <w:bCs/>
        </w:rPr>
      </w:pPr>
      <w:sdt>
        <w:sdtPr>
          <w:rPr>
            <w:rFonts w:ascii="Segoe UI Symbol" w:hAnsi="Segoe UI Symbol" w:cs="Segoe UI Symbol"/>
            <w:b/>
            <w:bCs/>
          </w:rPr>
          <w:id w:val="1637140564"/>
          <w14:checkbox>
            <w14:checked w14:val="1"/>
            <w14:checkedState w14:val="2612" w14:font="MS Gothic"/>
            <w14:uncheckedState w14:val="2610" w14:font="MS Gothic"/>
          </w14:checkbox>
        </w:sdtPr>
        <w:sdtEndPr/>
        <w:sdtContent>
          <w:r w:rsidR="00112D5D" w:rsidRPr="00112D5D">
            <w:rPr>
              <w:rFonts w:ascii="MS Gothic" w:eastAsia="MS Gothic" w:hAnsi="MS Gothic" w:cs="Segoe UI Symbol" w:hint="eastAsia"/>
              <w:b/>
              <w:bCs/>
            </w:rPr>
            <w:t>☒</w:t>
          </w:r>
        </w:sdtContent>
      </w:sdt>
      <w:r w:rsidR="002C1695" w:rsidRPr="00112D5D">
        <w:rPr>
          <w:b/>
          <w:bCs/>
        </w:rPr>
        <w:t>g</w:t>
      </w:r>
      <w:r w:rsidR="002C1B51" w:rsidRPr="00112D5D">
        <w:rPr>
          <w:b/>
          <w:bCs/>
        </w:rPr>
        <w:t>enerated</w:t>
      </w:r>
      <w:bookmarkStart w:id="51" w:name="_Hlk504302444"/>
      <w:r w:rsidR="002C1B51" w:rsidRPr="00112D5D">
        <w:rPr>
          <w:b/>
          <w:bCs/>
        </w:rPr>
        <w:t xml:space="preserve"> </w:t>
      </w:r>
      <w:bookmarkEnd w:id="51"/>
      <w:r w:rsidR="002C1B51" w:rsidRPr="00112D5D">
        <w:rPr>
          <w:b/>
          <w:bCs/>
        </w:rPr>
        <w:t>or collected by and used by health</w:t>
      </w:r>
      <w:r w:rsidR="00504EE2" w:rsidRPr="00112D5D">
        <w:rPr>
          <w:b/>
          <w:bCs/>
        </w:rPr>
        <w:t xml:space="preserve"> </w:t>
      </w:r>
      <w:r w:rsidR="002C1B51" w:rsidRPr="00112D5D">
        <w:rPr>
          <w:b/>
          <w:bCs/>
        </w:rPr>
        <w:t>care personnel during provision of care (e.g., blood pressure, laboratory value, diagnosis, depression score)</w:t>
      </w:r>
    </w:p>
    <w:p w14:paraId="586AF755" w14:textId="45B72BC0" w:rsidR="002C1B51" w:rsidRPr="00112D5D" w:rsidRDefault="00D95B04" w:rsidP="00A4036D">
      <w:pPr>
        <w:pStyle w:val="ListBullet"/>
        <w:numPr>
          <w:ilvl w:val="0"/>
          <w:numId w:val="0"/>
        </w:numPr>
        <w:ind w:left="360"/>
        <w:rPr>
          <w:b/>
          <w:bCs/>
        </w:rPr>
      </w:pPr>
      <w:sdt>
        <w:sdtPr>
          <w:rPr>
            <w:rFonts w:ascii="Segoe UI Symbol" w:hAnsi="Segoe UI Symbol" w:cs="Segoe UI Symbol"/>
            <w:b/>
            <w:bCs/>
          </w:rPr>
          <w:id w:val="-716352996"/>
          <w14:checkbox>
            <w14:checked w14:val="1"/>
            <w14:checkedState w14:val="2612" w14:font="MS Gothic"/>
            <w14:uncheckedState w14:val="2610" w14:font="MS Gothic"/>
          </w14:checkbox>
        </w:sdtPr>
        <w:sdtEndPr/>
        <w:sdtContent>
          <w:r w:rsidR="00112D5D" w:rsidRPr="00112D5D">
            <w:rPr>
              <w:rFonts w:ascii="MS Gothic" w:eastAsia="MS Gothic" w:hAnsi="MS Gothic" w:cs="Segoe UI Symbol" w:hint="eastAsia"/>
              <w:b/>
              <w:bCs/>
            </w:rPr>
            <w:t>☒</w:t>
          </w:r>
        </w:sdtContent>
      </w:sdt>
      <w:r w:rsidR="002C1695" w:rsidRPr="00112D5D">
        <w:rPr>
          <w:b/>
          <w:bCs/>
        </w:rPr>
        <w:t>c</w:t>
      </w:r>
      <w:r w:rsidR="002C1B51" w:rsidRPr="00112D5D">
        <w:rPr>
          <w:b/>
          <w:bCs/>
        </w:rPr>
        <w:t>oded by someone other than the person obtaining original information (e.g., Diagnosis-Related Group, International Classification of Diseases, 10th Revision</w:t>
      </w:r>
      <w:r w:rsidR="00983A56" w:rsidRPr="00112D5D">
        <w:rPr>
          <w:b/>
          <w:bCs/>
        </w:rPr>
        <w:t>, Clinical Modification/Procedure Coding System</w:t>
      </w:r>
      <w:r w:rsidR="002C1B51" w:rsidRPr="00112D5D">
        <w:rPr>
          <w:b/>
          <w:bCs/>
        </w:rPr>
        <w:t xml:space="preserve"> codes on claims)</w:t>
      </w:r>
    </w:p>
    <w:p w14:paraId="1A9F6773" w14:textId="07F55673" w:rsidR="002C1B51" w:rsidRPr="003E4F33" w:rsidRDefault="00594D7E" w:rsidP="00A4036D">
      <w:pPr>
        <w:pStyle w:val="ListBullet"/>
        <w:numPr>
          <w:ilvl w:val="0"/>
          <w:numId w:val="0"/>
        </w:numPr>
        <w:ind w:left="360"/>
      </w:pPr>
      <w:r w:rsidRPr="00112D5D">
        <w:rPr>
          <w:rFonts w:ascii="Segoe UI Symbol" w:hAnsi="Segoe UI Symbol" w:cs="Segoe UI Symbol"/>
        </w:rPr>
        <w:t>☐</w:t>
      </w:r>
      <w:r w:rsidR="002C1695" w:rsidRPr="00112D5D">
        <w:t>a</w:t>
      </w:r>
      <w:r w:rsidR="002C1B51" w:rsidRPr="00112D5D">
        <w:t>bstracted from a record by someone</w:t>
      </w:r>
      <w:r w:rsidR="002C1B51" w:rsidRPr="003E4F33">
        <w:t xml:space="preserve"> other than the person obtaining original information (</w:t>
      </w:r>
      <w:r w:rsidR="002C1B51">
        <w:t>e.g.</w:t>
      </w:r>
      <w:r w:rsidR="002C1B51" w:rsidRPr="003E4F33">
        <w:t>, chart abstraction for quality measure or registry)</w:t>
      </w:r>
    </w:p>
    <w:p w14:paraId="70506C02" w14:textId="1ACFDB50" w:rsidR="002C1B51" w:rsidRPr="003E4F33" w:rsidRDefault="00594D7E" w:rsidP="00A4036D">
      <w:pPr>
        <w:pStyle w:val="ListBullet"/>
        <w:numPr>
          <w:ilvl w:val="0"/>
          <w:numId w:val="0"/>
        </w:numPr>
        <w:ind w:left="360"/>
      </w:pPr>
      <w:r w:rsidRPr="00A4036D">
        <w:rPr>
          <w:rFonts w:ascii="Segoe UI Symbol" w:hAnsi="Segoe UI Symbol" w:cs="Segoe UI Symbol"/>
        </w:rPr>
        <w:t>☐</w:t>
      </w:r>
      <w:r w:rsidR="002C1695">
        <w:t>o</w:t>
      </w:r>
      <w:r w:rsidR="002C1B51" w:rsidRPr="003E4F33">
        <w:t>ther (</w:t>
      </w:r>
      <w:r w:rsidR="0046641F">
        <w:t>specify</w:t>
      </w:r>
      <w:r w:rsidR="002C1B51" w:rsidRPr="003E4F33">
        <w:t>)</w:t>
      </w:r>
      <w:r w:rsidR="006F778C" w:rsidRPr="00A4036D">
        <w:t xml:space="preserve"> </w:t>
      </w:r>
      <w:sdt>
        <w:sdtPr>
          <w:id w:val="647482607"/>
          <w:placeholder>
            <w:docPart w:val="4B5B5836B9EE415F969482693A0011F8"/>
          </w:placeholder>
          <w:showingPlcHdr/>
          <w:text/>
        </w:sdtPr>
        <w:sdtEndPr/>
        <w:sdtContent>
          <w:r w:rsidR="006F778C" w:rsidRPr="00925580">
            <w:rPr>
              <w:u w:val="single"/>
            </w:rPr>
            <w:t>Click or tap here to enter text.</w:t>
          </w:r>
        </w:sdtContent>
      </w:sdt>
    </w:p>
    <w:p w14:paraId="3D315B90" w14:textId="18DA20D0" w:rsidR="000A627F" w:rsidRPr="003E4F33" w:rsidRDefault="000A53A2" w:rsidP="00B52BA6">
      <w:pPr>
        <w:pStyle w:val="Heading4"/>
      </w:pPr>
      <w:r>
        <w:t>5</w:t>
      </w:r>
      <w:r w:rsidR="002C1B51" w:rsidRPr="003E4F33">
        <w:t>.2</w:t>
      </w:r>
      <w:r w:rsidR="002C1B51">
        <w:tab/>
      </w:r>
      <w:r w:rsidR="002C1B51" w:rsidRPr="003E4F33">
        <w:t xml:space="preserve">Electronic Sources </w:t>
      </w:r>
    </w:p>
    <w:p w14:paraId="10C2D244" w14:textId="02157D96" w:rsidR="002C1B51" w:rsidRDefault="000A53A2" w:rsidP="00B52BA6">
      <w:pPr>
        <w:pStyle w:val="Heading5"/>
      </w:pPr>
      <w:bookmarkStart w:id="52" w:name="_Hlk503277397"/>
      <w:r>
        <w:t>5</w:t>
      </w:r>
      <w:r w:rsidR="002C1B51">
        <w:t>.2.1</w:t>
      </w:r>
      <w:r w:rsidR="002C1B51">
        <w:tab/>
        <w:t xml:space="preserve">Data Elements Electronic Availability </w:t>
      </w:r>
    </w:p>
    <w:bookmarkEnd w:id="52"/>
    <w:p w14:paraId="0E806B02" w14:textId="5EDE9226" w:rsidR="00825C34" w:rsidRPr="00825C34" w:rsidRDefault="00825C34" w:rsidP="00825C34">
      <w:pPr>
        <w:pStyle w:val="BlueprintText"/>
      </w:pPr>
      <w:r w:rsidRPr="00A658AB">
        <w:t>Select.</w:t>
      </w:r>
    </w:p>
    <w:p w14:paraId="06D84E62" w14:textId="62D676F3" w:rsidR="002C1B51" w:rsidRPr="00112D5D" w:rsidRDefault="00D95B04" w:rsidP="00A4036D">
      <w:pPr>
        <w:pStyle w:val="ListBullet"/>
        <w:numPr>
          <w:ilvl w:val="0"/>
          <w:numId w:val="0"/>
        </w:numPr>
        <w:ind w:left="360"/>
        <w:rPr>
          <w:b/>
          <w:bCs/>
        </w:rPr>
      </w:pPr>
      <w:sdt>
        <w:sdtPr>
          <w:rPr>
            <w:b/>
            <w:bCs/>
          </w:rPr>
          <w:id w:val="-1315336077"/>
          <w14:checkbox>
            <w14:checked w14:val="1"/>
            <w14:checkedState w14:val="2612" w14:font="MS Gothic"/>
            <w14:uncheckedState w14:val="2610" w14:font="MS Gothic"/>
          </w14:checkbox>
        </w:sdtPr>
        <w:sdtEndPr/>
        <w:sdtContent>
          <w:r w:rsidR="00112D5D">
            <w:rPr>
              <w:rFonts w:ascii="MS Gothic" w:eastAsia="MS Gothic" w:hAnsi="MS Gothic" w:hint="eastAsia"/>
              <w:b/>
              <w:bCs/>
            </w:rPr>
            <w:t>☒</w:t>
          </w:r>
        </w:sdtContent>
      </w:sdt>
      <w:r w:rsidR="002C1B51" w:rsidRPr="00112D5D">
        <w:rPr>
          <w:b/>
          <w:bCs/>
        </w:rPr>
        <w:t>All data elements are in defined fields in EHRs.</w:t>
      </w:r>
      <w:r w:rsidR="002C1B51" w:rsidRPr="00112D5D" w:rsidDel="00A64A2C">
        <w:rPr>
          <w:b/>
          <w:bCs/>
        </w:rPr>
        <w:t xml:space="preserve"> </w:t>
      </w:r>
    </w:p>
    <w:p w14:paraId="3343BBA0" w14:textId="1402B197" w:rsidR="002C1B51" w:rsidRPr="003E4F33" w:rsidRDefault="00594D7E" w:rsidP="00A4036D">
      <w:pPr>
        <w:pStyle w:val="ListBullet"/>
        <w:numPr>
          <w:ilvl w:val="0"/>
          <w:numId w:val="0"/>
        </w:numPr>
        <w:ind w:left="360"/>
      </w:pPr>
      <w:r w:rsidRPr="00A4036D">
        <w:rPr>
          <w:rFonts w:ascii="Segoe UI Symbol" w:hAnsi="Segoe UI Symbol" w:cs="Segoe UI Symbol"/>
        </w:rPr>
        <w:t>☐</w:t>
      </w:r>
      <w:r w:rsidR="002C1B51" w:rsidRPr="003E4F33">
        <w:t>All data elements are in defined fields in electronic claims</w:t>
      </w:r>
      <w:r w:rsidR="002C1B51">
        <w:t>.</w:t>
      </w:r>
    </w:p>
    <w:p w14:paraId="4881C18A" w14:textId="6DCCDAE4" w:rsidR="002C1B51" w:rsidRPr="003E4F33" w:rsidRDefault="00594D7E" w:rsidP="00A4036D">
      <w:pPr>
        <w:pStyle w:val="ListBullet"/>
        <w:numPr>
          <w:ilvl w:val="0"/>
          <w:numId w:val="0"/>
        </w:numPr>
        <w:ind w:left="360"/>
      </w:pPr>
      <w:r w:rsidRPr="00A4036D">
        <w:rPr>
          <w:rFonts w:ascii="Segoe UI Symbol" w:hAnsi="Segoe UI Symbol" w:cs="Segoe UI Symbol"/>
        </w:rPr>
        <w:t>☐</w:t>
      </w:r>
      <w:r w:rsidR="002C1B51" w:rsidRPr="003E4F33">
        <w:t>All data elements are in defined fields in electronic clinical data such as clinical registry, nursing home MDS, and home health OASIS</w:t>
      </w:r>
      <w:r w:rsidR="002C1B51">
        <w:t>.</w:t>
      </w:r>
    </w:p>
    <w:p w14:paraId="34EAB1DC" w14:textId="2F956EA9" w:rsidR="002C1B51" w:rsidRPr="00112D5D" w:rsidRDefault="00D95B04" w:rsidP="00A4036D">
      <w:pPr>
        <w:pStyle w:val="ListBullet"/>
        <w:numPr>
          <w:ilvl w:val="0"/>
          <w:numId w:val="0"/>
        </w:numPr>
        <w:ind w:left="360"/>
      </w:pPr>
      <w:sdt>
        <w:sdtPr>
          <w:rPr>
            <w:rFonts w:ascii="Segoe UI Symbol" w:hAnsi="Segoe UI Symbol" w:cs="Segoe UI Symbol"/>
          </w:rPr>
          <w:id w:val="1869864815"/>
          <w14:checkbox>
            <w14:checked w14:val="0"/>
            <w14:checkedState w14:val="2612" w14:font="MS Gothic"/>
            <w14:uncheckedState w14:val="2610" w14:font="MS Gothic"/>
          </w14:checkbox>
        </w:sdtPr>
        <w:sdtEndPr/>
        <w:sdtContent>
          <w:r w:rsidR="00112D5D" w:rsidRPr="00112D5D">
            <w:rPr>
              <w:rFonts w:ascii="MS Gothic" w:eastAsia="MS Gothic" w:hAnsi="MS Gothic" w:cs="Segoe UI Symbol" w:hint="eastAsia"/>
            </w:rPr>
            <w:t>☐</w:t>
          </w:r>
        </w:sdtContent>
      </w:sdt>
      <w:r w:rsidR="002C1B51" w:rsidRPr="00112D5D">
        <w:t>All data elements are in defined fields in a combination of electronic sources.</w:t>
      </w:r>
    </w:p>
    <w:p w14:paraId="2AB61FE3" w14:textId="00D31B54" w:rsidR="002C1B51" w:rsidRPr="003E4F33" w:rsidRDefault="00594D7E" w:rsidP="00A4036D">
      <w:pPr>
        <w:pStyle w:val="ListBullet"/>
        <w:numPr>
          <w:ilvl w:val="0"/>
          <w:numId w:val="0"/>
        </w:numPr>
        <w:ind w:left="360"/>
      </w:pPr>
      <w:r w:rsidRPr="00A4036D">
        <w:rPr>
          <w:rFonts w:ascii="Segoe UI Symbol" w:hAnsi="Segoe UI Symbol" w:cs="Segoe UI Symbol"/>
        </w:rPr>
        <w:t>☐</w:t>
      </w:r>
      <w:r w:rsidR="002C1B51" w:rsidRPr="003E4F33">
        <w:t>Some data elements are in defined fields in electronic sources</w:t>
      </w:r>
      <w:r w:rsidR="002C1B51">
        <w:t>.</w:t>
      </w:r>
    </w:p>
    <w:p w14:paraId="27F20E93" w14:textId="07B3E1C7" w:rsidR="002C1B51" w:rsidRPr="003E4F33" w:rsidRDefault="00594D7E" w:rsidP="00A4036D">
      <w:pPr>
        <w:pStyle w:val="ListBullet"/>
        <w:numPr>
          <w:ilvl w:val="0"/>
          <w:numId w:val="0"/>
        </w:numPr>
        <w:ind w:left="360"/>
      </w:pPr>
      <w:r w:rsidRPr="00A4036D">
        <w:rPr>
          <w:rFonts w:ascii="Segoe UI Symbol" w:hAnsi="Segoe UI Symbol" w:cs="Segoe UI Symbol"/>
        </w:rPr>
        <w:t>☐</w:t>
      </w:r>
      <w:r w:rsidR="002C1B51" w:rsidRPr="003E4F33">
        <w:t>No data elements are in defined fields in electronic sources</w:t>
      </w:r>
      <w:bookmarkStart w:id="53" w:name="_Hlk504302529"/>
      <w:r w:rsidR="002C1B51">
        <w:t>.</w:t>
      </w:r>
    </w:p>
    <w:p w14:paraId="0C25DF58" w14:textId="3420B546" w:rsidR="002C1B51" w:rsidRPr="003E4F33" w:rsidRDefault="00594D7E" w:rsidP="00A4036D">
      <w:pPr>
        <w:pStyle w:val="ListBullet"/>
        <w:numPr>
          <w:ilvl w:val="0"/>
          <w:numId w:val="0"/>
        </w:numPr>
        <w:ind w:left="360"/>
      </w:pPr>
      <w:r w:rsidRPr="00A4036D">
        <w:rPr>
          <w:rFonts w:ascii="Segoe UI Symbol" w:hAnsi="Segoe UI Symbol" w:cs="Segoe UI Symbol"/>
        </w:rPr>
        <w:t>☐</w:t>
      </w:r>
      <w:r w:rsidR="002C1B51">
        <w:t xml:space="preserve">Data </w:t>
      </w:r>
      <w:r w:rsidR="000C0904">
        <w:t>are</w:t>
      </w:r>
      <w:r w:rsidR="002C1B51">
        <w:t xml:space="preserve"> p</w:t>
      </w:r>
      <w:r w:rsidR="002C1B51" w:rsidRPr="003E4F33">
        <w:t>atient/family reported information</w:t>
      </w:r>
      <w:r w:rsidR="002C1B51">
        <w:t xml:space="preserve">; </w:t>
      </w:r>
      <w:r w:rsidR="002C1B51" w:rsidRPr="003E4F33">
        <w:t>may be electronic or paper</w:t>
      </w:r>
      <w:r w:rsidR="002C1B51">
        <w:t>.</w:t>
      </w:r>
    </w:p>
    <w:p w14:paraId="23F5E074" w14:textId="52EA23EA" w:rsidR="002C1B51" w:rsidRPr="00534E34" w:rsidRDefault="000A53A2" w:rsidP="00B52BA6">
      <w:pPr>
        <w:pStyle w:val="Heading5"/>
      </w:pPr>
      <w:bookmarkStart w:id="54" w:name="_Hlk503277440"/>
      <w:bookmarkEnd w:id="53"/>
      <w:r w:rsidRPr="00534E34">
        <w:t>5</w:t>
      </w:r>
      <w:r w:rsidR="002C1B51" w:rsidRPr="00534E34">
        <w:t>.2.2</w:t>
      </w:r>
      <w:r w:rsidR="002C1B51" w:rsidRPr="00534E34">
        <w:tab/>
        <w:t xml:space="preserve">Path to Electronic Capture </w:t>
      </w:r>
    </w:p>
    <w:bookmarkEnd w:id="54"/>
    <w:p w14:paraId="49CD79AA" w14:textId="02B361BC" w:rsidR="5B8EABF8" w:rsidRPr="007C1E8D" w:rsidRDefault="5B8EABF8" w:rsidP="2CB3E62B">
      <w:pPr>
        <w:pStyle w:val="BlueprintText"/>
      </w:pPr>
      <w:r w:rsidRPr="007C1E8D">
        <w:t>Not applicable.</w:t>
      </w:r>
    </w:p>
    <w:p w14:paraId="6620BB9A" w14:textId="107BA823" w:rsidR="002C1B51" w:rsidRPr="009673C3" w:rsidRDefault="000A53A2" w:rsidP="00B52BA6">
      <w:pPr>
        <w:pStyle w:val="Heading5"/>
      </w:pPr>
      <w:r>
        <w:t>5</w:t>
      </w:r>
      <w:r w:rsidR="002C1B51">
        <w:t>.2.3</w:t>
      </w:r>
      <w:r>
        <w:tab/>
      </w:r>
      <w:r w:rsidR="002C1B51">
        <w:t xml:space="preserve">eCQM Feasibility </w:t>
      </w:r>
    </w:p>
    <w:p w14:paraId="7FE18EE7" w14:textId="5D5F0BAC" w:rsidR="005C66DE" w:rsidRPr="00C737CA" w:rsidRDefault="53DB9EE0" w:rsidP="005C66DE">
      <w:pPr>
        <w:spacing w:after="120"/>
        <w:rPr>
          <w:rFonts w:ascii="Calibri" w:hAnsi="Calibri" w:cs="Calibri"/>
        </w:rPr>
      </w:pPr>
      <w:r w:rsidRPr="2CB3E62B">
        <w:rPr>
          <w:rFonts w:ascii="Calibri" w:hAnsi="Calibri" w:cs="Calibri"/>
        </w:rPr>
        <w:t>We assessed data element feasibility of the data elements in each of the datasets, with Dataset A representing both Epic and Cerner, for a total of four assessments: two Epic EHRs, one Cerner site, and one Cerner assessment from a vendor representative. The data elements were identified from the electronic specifications measure package, with each data element having a value set or direct reference code. Details are within the Feasibility Scorecard, attached to this deliverable.</w:t>
      </w:r>
    </w:p>
    <w:p w14:paraId="0B342224" w14:textId="77777777" w:rsidR="005C66DE" w:rsidRPr="00C737CA" w:rsidRDefault="005C66DE" w:rsidP="005C66DE">
      <w:pPr>
        <w:spacing w:after="120"/>
        <w:rPr>
          <w:rFonts w:ascii="Calibri" w:hAnsi="Calibri" w:cs="Calibri"/>
        </w:rPr>
      </w:pPr>
      <w:r w:rsidRPr="00C737CA">
        <w:rPr>
          <w:rFonts w:ascii="Calibri" w:hAnsi="Calibri" w:cs="Calibri"/>
        </w:rPr>
        <w:t>Final data elements were found to be feasible.</w:t>
      </w:r>
    </w:p>
    <w:p w14:paraId="6A0E7A0B" w14:textId="77777777" w:rsidR="005C66DE" w:rsidRDefault="005C66DE" w:rsidP="005C66DE">
      <w:pPr>
        <w:spacing w:after="120"/>
        <w:rPr>
          <w:rFonts w:ascii="Calibri" w:hAnsi="Calibri" w:cs="Calibri"/>
        </w:rPr>
      </w:pPr>
      <w:r>
        <w:rPr>
          <w:rFonts w:ascii="Calibri" w:hAnsi="Calibri" w:cs="Calibri"/>
        </w:rPr>
        <w:t xml:space="preserve">A few data elements did not meet all four criteria for feasibility across all systems, which we examined more closely. </w:t>
      </w:r>
    </w:p>
    <w:p w14:paraId="486CF653" w14:textId="77777777" w:rsidR="005C66DE" w:rsidRDefault="005C66DE" w:rsidP="007926AF">
      <w:pPr>
        <w:pStyle w:val="ListParagraph"/>
        <w:numPr>
          <w:ilvl w:val="0"/>
          <w:numId w:val="9"/>
        </w:numPr>
        <w:spacing w:after="120" w:line="259" w:lineRule="auto"/>
        <w:contextualSpacing/>
        <w:rPr>
          <w:rFonts w:cs="Calibri"/>
        </w:rPr>
      </w:pPr>
      <w:r>
        <w:rPr>
          <w:rFonts w:cs="Calibri"/>
        </w:rPr>
        <w:t xml:space="preserve">Race and ethnicity were noted to only be accurate if completed by the patient. </w:t>
      </w:r>
    </w:p>
    <w:p w14:paraId="1732B16F" w14:textId="77777777" w:rsidR="005C66DE" w:rsidRDefault="005C66DE" w:rsidP="007926AF">
      <w:pPr>
        <w:pStyle w:val="ListParagraph"/>
        <w:numPr>
          <w:ilvl w:val="0"/>
          <w:numId w:val="9"/>
        </w:numPr>
        <w:spacing w:after="120" w:line="259" w:lineRule="auto"/>
        <w:contextualSpacing/>
        <w:rPr>
          <w:rFonts w:cs="Calibri"/>
        </w:rPr>
      </w:pPr>
      <w:r>
        <w:rPr>
          <w:rFonts w:cs="Calibri"/>
        </w:rPr>
        <w:t xml:space="preserve">Several data elements were not being currently coded to standard terminology, but were available from structured fields: </w:t>
      </w:r>
    </w:p>
    <w:p w14:paraId="0ECDBCA7" w14:textId="77777777" w:rsidR="005C66DE" w:rsidRPr="00D84B1E" w:rsidRDefault="005C66DE" w:rsidP="007926AF">
      <w:pPr>
        <w:pStyle w:val="ListParagraph"/>
        <w:numPr>
          <w:ilvl w:val="1"/>
          <w:numId w:val="9"/>
        </w:numPr>
        <w:spacing w:after="120" w:line="259" w:lineRule="auto"/>
        <w:contextualSpacing/>
        <w:rPr>
          <w:rFonts w:cs="Calibri"/>
        </w:rPr>
      </w:pPr>
      <w:r w:rsidRPr="00D84B1E">
        <w:rPr>
          <w:rFonts w:cs="Calibri"/>
        </w:rPr>
        <w:t xml:space="preserve">Patient bed assigned, </w:t>
      </w:r>
      <w:r>
        <w:rPr>
          <w:rFonts w:cs="Calibri"/>
        </w:rPr>
        <w:t>with</w:t>
      </w:r>
      <w:r w:rsidRPr="00D84B1E">
        <w:rPr>
          <w:rFonts w:cs="Calibri"/>
        </w:rPr>
        <w:t xml:space="preserve"> timestamp</w:t>
      </w:r>
    </w:p>
    <w:p w14:paraId="05CB1788" w14:textId="77777777" w:rsidR="005C66DE" w:rsidRPr="00B1454D" w:rsidRDefault="005C66DE" w:rsidP="007926AF">
      <w:pPr>
        <w:pStyle w:val="ListParagraph"/>
        <w:numPr>
          <w:ilvl w:val="1"/>
          <w:numId w:val="9"/>
        </w:numPr>
        <w:spacing w:after="120" w:line="259" w:lineRule="auto"/>
        <w:contextualSpacing/>
        <w:rPr>
          <w:rFonts w:cs="Calibri"/>
        </w:rPr>
      </w:pPr>
      <w:r w:rsidRPr="00B1454D">
        <w:rPr>
          <w:rFonts w:cs="Calibri"/>
        </w:rPr>
        <w:t xml:space="preserve">ED disposition: Patient left without being seen, </w:t>
      </w:r>
      <w:r>
        <w:rPr>
          <w:rFonts w:cs="Calibri"/>
        </w:rPr>
        <w:t>a</w:t>
      </w:r>
      <w:r w:rsidRPr="00B1454D">
        <w:rPr>
          <w:rFonts w:cs="Calibri"/>
        </w:rPr>
        <w:t>dmit</w:t>
      </w:r>
      <w:r>
        <w:rPr>
          <w:rFonts w:cs="Calibri"/>
        </w:rPr>
        <w:t>ted to</w:t>
      </w:r>
      <w:r w:rsidRPr="00B1454D">
        <w:rPr>
          <w:rFonts w:cs="Calibri"/>
        </w:rPr>
        <w:t xml:space="preserve"> </w:t>
      </w:r>
      <w:r>
        <w:rPr>
          <w:rFonts w:cs="Calibri"/>
        </w:rPr>
        <w:t>i</w:t>
      </w:r>
      <w:r w:rsidRPr="00B1454D">
        <w:rPr>
          <w:rFonts w:cs="Calibri"/>
        </w:rPr>
        <w:t>npatient</w:t>
      </w:r>
      <w:r>
        <w:rPr>
          <w:rFonts w:cs="Calibri"/>
        </w:rPr>
        <w:t xml:space="preserve">; transferred to another facility </w:t>
      </w:r>
    </w:p>
    <w:p w14:paraId="5B526D1C" w14:textId="77777777" w:rsidR="005C66DE" w:rsidRPr="00D84B1E" w:rsidRDefault="005C66DE" w:rsidP="007926AF">
      <w:pPr>
        <w:pStyle w:val="ListParagraph"/>
        <w:numPr>
          <w:ilvl w:val="1"/>
          <w:numId w:val="9"/>
        </w:numPr>
        <w:spacing w:after="120" w:line="259" w:lineRule="auto"/>
        <w:contextualSpacing/>
        <w:rPr>
          <w:rFonts w:cs="Calibri"/>
        </w:rPr>
      </w:pPr>
      <w:r w:rsidRPr="00D84B1E">
        <w:rPr>
          <w:rFonts w:cs="Calibri"/>
        </w:rPr>
        <w:t xml:space="preserve">Decision to Admit to Hospital Inpatient, </w:t>
      </w:r>
      <w:r>
        <w:rPr>
          <w:rFonts w:cs="Calibri"/>
        </w:rPr>
        <w:t>with</w:t>
      </w:r>
      <w:r w:rsidRPr="00D84B1E">
        <w:rPr>
          <w:rFonts w:cs="Calibri"/>
        </w:rPr>
        <w:t xml:space="preserve"> timestamp</w:t>
      </w:r>
    </w:p>
    <w:p w14:paraId="0430A790" w14:textId="77777777" w:rsidR="005C66DE" w:rsidRPr="00D84B1E" w:rsidRDefault="005C66DE" w:rsidP="007926AF">
      <w:pPr>
        <w:pStyle w:val="ListParagraph"/>
        <w:numPr>
          <w:ilvl w:val="1"/>
          <w:numId w:val="9"/>
        </w:numPr>
        <w:spacing w:after="120" w:line="259" w:lineRule="auto"/>
        <w:contextualSpacing/>
        <w:rPr>
          <w:rFonts w:cs="Calibri"/>
        </w:rPr>
      </w:pPr>
      <w:r w:rsidRPr="00D84B1E">
        <w:rPr>
          <w:rFonts w:cs="Calibri"/>
        </w:rPr>
        <w:t xml:space="preserve">Emergency Department Evaluation </w:t>
      </w:r>
    </w:p>
    <w:p w14:paraId="5998F15D" w14:textId="77777777" w:rsidR="005C66DE" w:rsidRDefault="005C66DE" w:rsidP="007926AF">
      <w:pPr>
        <w:pStyle w:val="ListParagraph"/>
        <w:numPr>
          <w:ilvl w:val="1"/>
          <w:numId w:val="9"/>
        </w:numPr>
        <w:spacing w:after="120" w:line="259" w:lineRule="auto"/>
        <w:contextualSpacing/>
        <w:rPr>
          <w:rFonts w:cs="Calibri"/>
        </w:rPr>
      </w:pPr>
      <w:r w:rsidRPr="00D84B1E">
        <w:rPr>
          <w:rFonts w:cs="Calibri"/>
        </w:rPr>
        <w:t>Triage</w:t>
      </w:r>
      <w:r>
        <w:rPr>
          <w:rFonts w:cs="Calibri"/>
        </w:rPr>
        <w:t>/ED arrival time</w:t>
      </w:r>
    </w:p>
    <w:p w14:paraId="5B706383" w14:textId="77777777" w:rsidR="005C66DE" w:rsidRPr="003641E9" w:rsidRDefault="005C66DE" w:rsidP="005C66DE">
      <w:pPr>
        <w:spacing w:after="120"/>
        <w:rPr>
          <w:rFonts w:ascii="Calibri" w:hAnsi="Calibri" w:cs="Calibri"/>
        </w:rPr>
      </w:pPr>
      <w:r>
        <w:rPr>
          <w:rFonts w:ascii="Calibri" w:hAnsi="Calibri" w:cs="Calibri"/>
        </w:rPr>
        <w:t>For the data elements not being currently coded to standard terminology, the d</w:t>
      </w:r>
      <w:r w:rsidRPr="003A2CFE">
        <w:rPr>
          <w:rFonts w:ascii="Calibri" w:hAnsi="Calibri" w:cs="Calibri"/>
        </w:rPr>
        <w:t>ata is accurately captured in structured fields</w:t>
      </w:r>
      <w:r>
        <w:rPr>
          <w:rFonts w:ascii="Calibri" w:hAnsi="Calibri" w:cs="Calibri"/>
        </w:rPr>
        <w:t>. Therefore, we r</w:t>
      </w:r>
      <w:r w:rsidRPr="003A2CFE">
        <w:rPr>
          <w:rFonts w:ascii="Calibri" w:hAnsi="Calibri" w:cs="Calibri"/>
        </w:rPr>
        <w:t xml:space="preserve">ecommend keeping data element in measure specification. </w:t>
      </w:r>
      <w:r w:rsidRPr="003A2CFE">
        <w:rPr>
          <w:rFonts w:ascii="Calibri" w:hAnsi="Calibri" w:cs="Calibri"/>
        </w:rPr>
        <w:lastRenderedPageBreak/>
        <w:t>Facilities can work with their EHR vendor to ensure data element is aligned to standardized terminology prior to measure implementation.</w:t>
      </w:r>
    </w:p>
    <w:p w14:paraId="4542B158" w14:textId="48025C76" w:rsidR="002C1B51" w:rsidRDefault="000A53A2" w:rsidP="00B52BA6">
      <w:pPr>
        <w:pStyle w:val="Heading4"/>
      </w:pPr>
      <w:r>
        <w:t>5</w:t>
      </w:r>
      <w:r w:rsidR="002C1B51" w:rsidRPr="009673C3">
        <w:t>.3</w:t>
      </w:r>
      <w:r w:rsidR="002C1B51" w:rsidRPr="009673C3">
        <w:tab/>
        <w:t>Data Collection Strategy</w:t>
      </w:r>
    </w:p>
    <w:p w14:paraId="2A9A43B4" w14:textId="43DF4B6D" w:rsidR="002C1B51" w:rsidRDefault="000A53A2" w:rsidP="00B52BA6">
      <w:pPr>
        <w:pStyle w:val="Heading5"/>
      </w:pPr>
      <w:bookmarkStart w:id="55" w:name="_Hlk503277533"/>
      <w:r>
        <w:t>5</w:t>
      </w:r>
      <w:r w:rsidR="002C1B51">
        <w:t>.3.1</w:t>
      </w:r>
      <w:r>
        <w:tab/>
      </w:r>
      <w:r w:rsidR="002C1B51">
        <w:t xml:space="preserve">Data Collection Strategy Difficulties (optional) </w:t>
      </w:r>
      <w:bookmarkEnd w:id="55"/>
    </w:p>
    <w:p w14:paraId="6B0565DF" w14:textId="4237AD0B" w:rsidR="690EC35C" w:rsidRDefault="690EC35C" w:rsidP="1B174BA5">
      <w:pPr>
        <w:pStyle w:val="BlueprintText"/>
      </w:pPr>
      <w:r>
        <w:t>Not applicable.</w:t>
      </w:r>
    </w:p>
    <w:p w14:paraId="5500949E" w14:textId="2FACEE08" w:rsidR="00D55AAB" w:rsidRDefault="000A53A2" w:rsidP="00B52BA6">
      <w:pPr>
        <w:pStyle w:val="Heading5"/>
      </w:pPr>
      <w:bookmarkStart w:id="56" w:name="_Hlk503277550"/>
      <w:r>
        <w:t>5</w:t>
      </w:r>
      <w:r w:rsidR="002C1B51">
        <w:t>.3.2</w:t>
      </w:r>
      <w:r w:rsidR="002C1B51">
        <w:tab/>
        <w:t xml:space="preserve">Fees, Licensing, Other Requirements </w:t>
      </w:r>
    </w:p>
    <w:p w14:paraId="2E584FCA" w14:textId="7B152AE7" w:rsidR="00D55AAB" w:rsidRPr="00D55AAB" w:rsidRDefault="690EC35C" w:rsidP="00F4012D">
      <w:pPr>
        <w:pStyle w:val="BlueprintText"/>
      </w:pPr>
      <w:r>
        <w:t>Not applicable.</w:t>
      </w:r>
    </w:p>
    <w:bookmarkEnd w:id="56"/>
    <w:p w14:paraId="415C7592" w14:textId="3A11EBA7" w:rsidR="00383C9C" w:rsidRPr="002A7DCC" w:rsidRDefault="00383C9C" w:rsidP="00C23C64">
      <w:pPr>
        <w:pStyle w:val="Heading3"/>
      </w:pPr>
      <w:r w:rsidRPr="00C23C64">
        <w:t>Usability and Use</w:t>
      </w:r>
    </w:p>
    <w:p w14:paraId="2BA2DFDC" w14:textId="479B05DB" w:rsidR="00C910F6" w:rsidRPr="009673C3" w:rsidRDefault="000A53A2" w:rsidP="00B52BA6">
      <w:pPr>
        <w:pStyle w:val="Heading4"/>
      </w:pPr>
      <w:r>
        <w:t>6</w:t>
      </w:r>
      <w:r w:rsidR="00C910F6">
        <w:t>.1</w:t>
      </w:r>
      <w:r w:rsidR="00C910F6" w:rsidRPr="009673C3">
        <w:tab/>
      </w:r>
      <w:r w:rsidR="00C910F6" w:rsidRPr="00B52BA6">
        <w:rPr>
          <w:rStyle w:val="Heading4Char"/>
        </w:rPr>
        <w:t>Usability</w:t>
      </w:r>
      <w:r w:rsidR="00C910F6" w:rsidRPr="009673C3">
        <w:t xml:space="preserve"> </w:t>
      </w:r>
    </w:p>
    <w:p w14:paraId="2272D117" w14:textId="12DEEC55" w:rsidR="00C910F6" w:rsidRPr="009673C3" w:rsidRDefault="000A53A2" w:rsidP="00B52BA6">
      <w:pPr>
        <w:pStyle w:val="Heading5"/>
      </w:pPr>
      <w:r>
        <w:t>6</w:t>
      </w:r>
      <w:r w:rsidR="00C910F6" w:rsidRPr="009673C3">
        <w:t>.</w:t>
      </w:r>
      <w:r w:rsidR="00C910F6">
        <w:t>1</w:t>
      </w:r>
      <w:r w:rsidR="00C910F6" w:rsidRPr="009673C3">
        <w:t>.1</w:t>
      </w:r>
      <w:r w:rsidR="00C910F6" w:rsidRPr="009673C3">
        <w:tab/>
        <w:t xml:space="preserve">Improvement </w:t>
      </w:r>
    </w:p>
    <w:p w14:paraId="5FD2A031" w14:textId="75E6C995" w:rsidR="00B70BC7" w:rsidRPr="00B70BC7" w:rsidRDefault="7E66ADDE" w:rsidP="00E05B27">
      <w:pPr>
        <w:pStyle w:val="BlueprintText"/>
        <w:ind w:left="720"/>
      </w:pPr>
      <w:r>
        <w:t>Not applicable.</w:t>
      </w:r>
    </w:p>
    <w:p w14:paraId="17C1617A" w14:textId="62B2F9B6" w:rsidR="00C910F6" w:rsidRPr="003E4F33" w:rsidRDefault="000A53A2" w:rsidP="00B52BA6">
      <w:pPr>
        <w:pStyle w:val="Heading5"/>
      </w:pPr>
      <w:r>
        <w:t>6</w:t>
      </w:r>
      <w:r w:rsidR="00C910F6">
        <w:t>.1</w:t>
      </w:r>
      <w:r w:rsidR="00C910F6" w:rsidRPr="003E4F33">
        <w:t>.2</w:t>
      </w:r>
      <w:r w:rsidR="00C910F6">
        <w:tab/>
      </w:r>
      <w:r w:rsidR="00C910F6" w:rsidRPr="003E4F33">
        <w:t xml:space="preserve">Unexpected Findings </w:t>
      </w:r>
    </w:p>
    <w:p w14:paraId="70C53DD0" w14:textId="4D07C6D8" w:rsidR="00C910F6" w:rsidRPr="00B70BC7" w:rsidRDefault="7E66ADDE" w:rsidP="00E05B27">
      <w:pPr>
        <w:pStyle w:val="BlueprintText"/>
        <w:ind w:left="720"/>
      </w:pPr>
      <w:r>
        <w:t>Not applicable.</w:t>
      </w:r>
    </w:p>
    <w:p w14:paraId="59E1531D" w14:textId="08046ED1" w:rsidR="00C910F6" w:rsidRDefault="000A53A2" w:rsidP="00B52BA6">
      <w:pPr>
        <w:pStyle w:val="Heading5"/>
      </w:pPr>
      <w:r>
        <w:t>6</w:t>
      </w:r>
      <w:r w:rsidR="00C910F6">
        <w:t>.1.3</w:t>
      </w:r>
      <w:r w:rsidR="00C910F6">
        <w:tab/>
        <w:t xml:space="preserve">Unexpected Benefits </w:t>
      </w:r>
    </w:p>
    <w:p w14:paraId="7B0C7990" w14:textId="047AB23E" w:rsidR="00B70BC7" w:rsidRPr="00B70BC7" w:rsidRDefault="7E66ADDE" w:rsidP="00E05B27">
      <w:pPr>
        <w:pStyle w:val="BlueprintText"/>
        <w:ind w:left="720"/>
      </w:pPr>
      <w:r>
        <w:t>Not applicable.</w:t>
      </w:r>
    </w:p>
    <w:p w14:paraId="7B501034" w14:textId="4E51D989" w:rsidR="00383C9C" w:rsidRPr="003E4F33" w:rsidRDefault="000A53A2" w:rsidP="00B52BA6">
      <w:pPr>
        <w:pStyle w:val="Heading4"/>
      </w:pPr>
      <w:r>
        <w:t>6</w:t>
      </w:r>
      <w:r w:rsidR="00C910F6">
        <w:t>.2</w:t>
      </w:r>
      <w:r w:rsidR="00383C9C">
        <w:tab/>
      </w:r>
      <w:r w:rsidR="00383C9C" w:rsidRPr="00B52BA6">
        <w:rPr>
          <w:rStyle w:val="Heading5Char"/>
        </w:rPr>
        <w:t>Use</w:t>
      </w:r>
      <w:r w:rsidR="00383C9C" w:rsidRPr="003E4F33">
        <w:t xml:space="preserve"> </w:t>
      </w:r>
    </w:p>
    <w:p w14:paraId="498A91A7" w14:textId="273145A4" w:rsidR="00383C9C" w:rsidRPr="003E4F33" w:rsidRDefault="000A53A2" w:rsidP="00B52BA6">
      <w:pPr>
        <w:pStyle w:val="Heading5"/>
      </w:pPr>
      <w:r>
        <w:t>6</w:t>
      </w:r>
      <w:r w:rsidR="00C910F6">
        <w:t>.2</w:t>
      </w:r>
      <w:r w:rsidR="000158B2">
        <w:t>.</w:t>
      </w:r>
      <w:r w:rsidR="00383C9C" w:rsidRPr="003E4F33">
        <w:t>1</w:t>
      </w:r>
      <w:r w:rsidR="00383C9C">
        <w:tab/>
      </w:r>
      <w:r w:rsidR="00383C9C" w:rsidRPr="003E4F33">
        <w:t xml:space="preserve">Current and Planned Use </w:t>
      </w:r>
    </w:p>
    <w:bookmarkStart w:id="57" w:name="_Hlk140588195"/>
    <w:p w14:paraId="506BCC5D" w14:textId="228E469B" w:rsidR="00383C9C" w:rsidRPr="00E05B27" w:rsidRDefault="00D95B04" w:rsidP="00A4036D">
      <w:pPr>
        <w:pStyle w:val="ListBullet"/>
        <w:numPr>
          <w:ilvl w:val="0"/>
          <w:numId w:val="0"/>
        </w:numPr>
        <w:ind w:left="360"/>
        <w:rPr>
          <w:b/>
          <w:bCs/>
        </w:rPr>
      </w:pPr>
      <w:sdt>
        <w:sdtPr>
          <w:rPr>
            <w:rFonts w:ascii="MS Gothic" w:eastAsia="MS Gothic" w:hAnsi="MS Gothic" w:hint="eastAsia"/>
            <w:b/>
            <w:bCs/>
          </w:rPr>
          <w:id w:val="-586529900"/>
          <w14:checkbox>
            <w14:checked w14:val="1"/>
            <w14:checkedState w14:val="2612" w14:font="MS Gothic"/>
            <w14:uncheckedState w14:val="2610" w14:font="MS Gothic"/>
          </w14:checkbox>
        </w:sdtPr>
        <w:sdtEndPr/>
        <w:sdtContent>
          <w:r w:rsidR="00E05B27">
            <w:rPr>
              <w:rFonts w:ascii="MS Gothic" w:eastAsia="MS Gothic" w:hAnsi="MS Gothic" w:hint="eastAsia"/>
              <w:b/>
              <w:bCs/>
            </w:rPr>
            <w:t>☒</w:t>
          </w:r>
        </w:sdtContent>
      </w:sdt>
      <w:r w:rsidR="002C1695" w:rsidRPr="00E05B27">
        <w:rPr>
          <w:b/>
          <w:bCs/>
        </w:rPr>
        <w:t>p</w:t>
      </w:r>
      <w:r w:rsidR="00383C9C" w:rsidRPr="00E05B27">
        <w:rPr>
          <w:b/>
          <w:bCs/>
        </w:rPr>
        <w:t>ublic reporting</w:t>
      </w:r>
      <w:r w:rsidR="00B70BC7" w:rsidRPr="00E05B27">
        <w:rPr>
          <w:b/>
          <w:bCs/>
        </w:rPr>
        <w:t xml:space="preserve"> (planned)</w:t>
      </w:r>
    </w:p>
    <w:p w14:paraId="528BF369" w14:textId="02C425EB" w:rsidR="00383C9C" w:rsidRPr="003E4F33" w:rsidRDefault="00594D7E" w:rsidP="00A4036D">
      <w:pPr>
        <w:pStyle w:val="ListBullet"/>
        <w:numPr>
          <w:ilvl w:val="0"/>
          <w:numId w:val="0"/>
        </w:numPr>
        <w:ind w:left="360"/>
      </w:pPr>
      <w:r w:rsidRPr="00A4036D">
        <w:rPr>
          <w:rFonts w:ascii="Segoe UI Symbol" w:hAnsi="Segoe UI Symbol" w:cs="Segoe UI Symbol"/>
        </w:rPr>
        <w:t>☐</w:t>
      </w:r>
      <w:r w:rsidR="002C1695">
        <w:t>p</w:t>
      </w:r>
      <w:r w:rsidR="00383C9C" w:rsidRPr="003E4F33">
        <w:t>ublic health or disease surveillance</w:t>
      </w:r>
    </w:p>
    <w:p w14:paraId="5E05E500" w14:textId="146F05EC" w:rsidR="00383C9C" w:rsidRPr="00E05B27" w:rsidRDefault="00D95B04" w:rsidP="00A4036D">
      <w:pPr>
        <w:pStyle w:val="ListBullet"/>
        <w:numPr>
          <w:ilvl w:val="0"/>
          <w:numId w:val="0"/>
        </w:numPr>
        <w:ind w:left="360"/>
        <w:rPr>
          <w:b/>
          <w:bCs/>
        </w:rPr>
      </w:pPr>
      <w:sdt>
        <w:sdtPr>
          <w:rPr>
            <w:rFonts w:ascii="Segoe UI Symbol" w:hAnsi="Segoe UI Symbol" w:cs="Segoe UI Symbol"/>
            <w:b/>
            <w:bCs/>
          </w:rPr>
          <w:id w:val="610403212"/>
          <w14:checkbox>
            <w14:checked w14:val="0"/>
            <w14:checkedState w14:val="2612" w14:font="MS Gothic"/>
            <w14:uncheckedState w14:val="2610" w14:font="MS Gothic"/>
          </w14:checkbox>
        </w:sdtPr>
        <w:sdtEndPr/>
        <w:sdtContent>
          <w:r w:rsidR="1E2FBC9F" w:rsidRPr="109B55FF">
            <w:rPr>
              <w:rFonts w:ascii="MS Gothic" w:eastAsia="MS Gothic" w:hAnsi="MS Gothic" w:cs="MS Gothic"/>
              <w:b/>
              <w:bCs/>
            </w:rPr>
            <w:t>☐</w:t>
          </w:r>
        </w:sdtContent>
      </w:sdt>
      <w:r w:rsidR="002C1695" w:rsidRPr="109B55FF">
        <w:rPr>
          <w:b/>
          <w:bCs/>
        </w:rPr>
        <w:t>p</w:t>
      </w:r>
      <w:r w:rsidR="00383C9C" w:rsidRPr="109B55FF">
        <w:rPr>
          <w:b/>
          <w:bCs/>
        </w:rPr>
        <w:t>ayment program</w:t>
      </w:r>
      <w:r w:rsidR="00B70BC7" w:rsidRPr="109B55FF">
        <w:rPr>
          <w:b/>
          <w:bCs/>
        </w:rPr>
        <w:t xml:space="preserve"> (planned)</w:t>
      </w:r>
    </w:p>
    <w:p w14:paraId="232F1362" w14:textId="7504C572" w:rsidR="00383C9C" w:rsidRPr="003E4F33" w:rsidRDefault="00594D7E" w:rsidP="00A4036D">
      <w:pPr>
        <w:pStyle w:val="ListBullet"/>
        <w:numPr>
          <w:ilvl w:val="0"/>
          <w:numId w:val="0"/>
        </w:numPr>
        <w:ind w:left="360"/>
      </w:pPr>
      <w:r w:rsidRPr="00A4036D">
        <w:rPr>
          <w:rFonts w:ascii="Segoe UI Symbol" w:hAnsi="Segoe UI Symbol" w:cs="Segoe UI Symbol"/>
        </w:rPr>
        <w:t>☐</w:t>
      </w:r>
      <w:r w:rsidR="002C1695">
        <w:t>r</w:t>
      </w:r>
      <w:r w:rsidR="00383C9C" w:rsidRPr="003E4F33">
        <w:t>egulatory and accreditation programs</w:t>
      </w:r>
    </w:p>
    <w:p w14:paraId="60075D08" w14:textId="1CD24939" w:rsidR="00383C9C" w:rsidRPr="003E4F33" w:rsidRDefault="00594D7E" w:rsidP="00A4036D">
      <w:pPr>
        <w:pStyle w:val="ListBullet"/>
        <w:numPr>
          <w:ilvl w:val="0"/>
          <w:numId w:val="0"/>
        </w:numPr>
        <w:ind w:left="360"/>
      </w:pPr>
      <w:r w:rsidRPr="00A4036D">
        <w:rPr>
          <w:rFonts w:ascii="Segoe UI Symbol" w:hAnsi="Segoe UI Symbol" w:cs="Segoe UI Symbol"/>
        </w:rPr>
        <w:t>☐</w:t>
      </w:r>
      <w:r w:rsidR="002C1695">
        <w:t>p</w:t>
      </w:r>
      <w:r w:rsidR="00383C9C" w:rsidRPr="003E4F33">
        <w:t>rofessional certification or recognition program</w:t>
      </w:r>
    </w:p>
    <w:p w14:paraId="1588F239" w14:textId="5FFD9F87" w:rsidR="00383C9C" w:rsidRPr="003E4F33" w:rsidRDefault="00594D7E" w:rsidP="00A4036D">
      <w:pPr>
        <w:pStyle w:val="ListBullet"/>
        <w:numPr>
          <w:ilvl w:val="0"/>
          <w:numId w:val="0"/>
        </w:numPr>
        <w:ind w:left="360"/>
      </w:pPr>
      <w:r w:rsidRPr="00A4036D">
        <w:rPr>
          <w:rFonts w:ascii="Segoe UI Symbol" w:hAnsi="Segoe UI Symbol" w:cs="Segoe UI Symbol"/>
        </w:rPr>
        <w:t>☐</w:t>
      </w:r>
      <w:r w:rsidR="002C1695">
        <w:t>q</w:t>
      </w:r>
      <w:r w:rsidR="00383C9C" w:rsidRPr="003E4F33">
        <w:t>uality improvement with external benchmarking to multiple organizations</w:t>
      </w:r>
    </w:p>
    <w:p w14:paraId="41C120EA" w14:textId="7286D2AE" w:rsidR="00383C9C" w:rsidRPr="00E05B27" w:rsidRDefault="00D95B04" w:rsidP="00A4036D">
      <w:pPr>
        <w:pStyle w:val="ListBullet"/>
        <w:numPr>
          <w:ilvl w:val="0"/>
          <w:numId w:val="0"/>
        </w:numPr>
        <w:ind w:left="360"/>
        <w:rPr>
          <w:b/>
          <w:bCs/>
        </w:rPr>
      </w:pPr>
      <w:sdt>
        <w:sdtPr>
          <w:rPr>
            <w:rFonts w:ascii="Segoe UI Symbol" w:hAnsi="Segoe UI Symbol" w:cs="Segoe UI Symbol"/>
            <w:b/>
            <w:bCs/>
          </w:rPr>
          <w:id w:val="1982880977"/>
          <w14:checkbox>
            <w14:checked w14:val="1"/>
            <w14:checkedState w14:val="2612" w14:font="MS Gothic"/>
            <w14:uncheckedState w14:val="2610" w14:font="MS Gothic"/>
          </w14:checkbox>
        </w:sdtPr>
        <w:sdtEndPr/>
        <w:sdtContent>
          <w:r w:rsidR="00E05B27">
            <w:rPr>
              <w:rFonts w:ascii="MS Gothic" w:eastAsia="MS Gothic" w:hAnsi="MS Gothic" w:cs="Segoe UI Symbol" w:hint="eastAsia"/>
              <w:b/>
              <w:bCs/>
            </w:rPr>
            <w:t>☒</w:t>
          </w:r>
        </w:sdtContent>
      </w:sdt>
      <w:r w:rsidR="002C1695" w:rsidRPr="00E05B27">
        <w:rPr>
          <w:b/>
          <w:bCs/>
        </w:rPr>
        <w:t>q</w:t>
      </w:r>
      <w:r w:rsidR="00383C9C" w:rsidRPr="00E05B27">
        <w:rPr>
          <w:b/>
          <w:bCs/>
        </w:rPr>
        <w:t>uality improvement internal to a specific organization</w:t>
      </w:r>
      <w:r w:rsidR="00B70BC7" w:rsidRPr="00E05B27">
        <w:rPr>
          <w:b/>
          <w:bCs/>
        </w:rPr>
        <w:t xml:space="preserve"> (planned)</w:t>
      </w:r>
    </w:p>
    <w:p w14:paraId="2918914B" w14:textId="78A6EB1E" w:rsidR="00383C9C" w:rsidRPr="00E05B27" w:rsidRDefault="00D95B04" w:rsidP="00A4036D">
      <w:pPr>
        <w:pStyle w:val="ListBullet"/>
        <w:numPr>
          <w:ilvl w:val="0"/>
          <w:numId w:val="0"/>
        </w:numPr>
        <w:ind w:left="360"/>
        <w:rPr>
          <w:b/>
          <w:bCs/>
        </w:rPr>
      </w:pPr>
      <w:sdt>
        <w:sdtPr>
          <w:rPr>
            <w:rFonts w:ascii="Segoe UI Symbol" w:hAnsi="Segoe UI Symbol" w:cs="Segoe UI Symbol"/>
            <w:b/>
            <w:bCs/>
          </w:rPr>
          <w:id w:val="422465566"/>
          <w14:checkbox>
            <w14:checked w14:val="1"/>
            <w14:checkedState w14:val="2612" w14:font="MS Gothic"/>
            <w14:uncheckedState w14:val="2610" w14:font="MS Gothic"/>
          </w14:checkbox>
        </w:sdtPr>
        <w:sdtEndPr/>
        <w:sdtContent>
          <w:r w:rsidR="00E05B27">
            <w:rPr>
              <w:rFonts w:ascii="MS Gothic" w:eastAsia="MS Gothic" w:hAnsi="MS Gothic" w:cs="Segoe UI Symbol" w:hint="eastAsia"/>
              <w:b/>
              <w:bCs/>
            </w:rPr>
            <w:t>☒</w:t>
          </w:r>
        </w:sdtContent>
      </w:sdt>
      <w:r w:rsidR="002C1695" w:rsidRPr="00E05B27">
        <w:rPr>
          <w:b/>
          <w:bCs/>
        </w:rPr>
        <w:t>n</w:t>
      </w:r>
      <w:r w:rsidR="00383C9C" w:rsidRPr="00E05B27">
        <w:rPr>
          <w:b/>
          <w:bCs/>
        </w:rPr>
        <w:t>ot in use</w:t>
      </w:r>
      <w:r w:rsidR="00B70BC7" w:rsidRPr="00E05B27">
        <w:rPr>
          <w:b/>
          <w:bCs/>
        </w:rPr>
        <w:t xml:space="preserve"> (current)</w:t>
      </w:r>
    </w:p>
    <w:p w14:paraId="49058411" w14:textId="4FD699EF" w:rsidR="00615AE1" w:rsidRPr="00B70BC7" w:rsidRDefault="00594D7E" w:rsidP="00B70BC7">
      <w:pPr>
        <w:pStyle w:val="ListBullet"/>
        <w:numPr>
          <w:ilvl w:val="0"/>
          <w:numId w:val="0"/>
        </w:numPr>
        <w:ind w:left="360"/>
      </w:pPr>
      <w:r w:rsidRPr="00A4036D">
        <w:rPr>
          <w:rFonts w:ascii="Segoe UI Symbol" w:hAnsi="Segoe UI Symbol" w:cs="Segoe UI Symbol"/>
        </w:rPr>
        <w:t>☐</w:t>
      </w:r>
      <w:r w:rsidR="002C1695">
        <w:t>u</w:t>
      </w:r>
      <w:r w:rsidR="00383C9C" w:rsidRPr="003E4F33">
        <w:t>se unknown</w:t>
      </w:r>
      <w:bookmarkStart w:id="58" w:name="_Hlk503277600"/>
      <w:bookmarkEnd w:id="57"/>
    </w:p>
    <w:bookmarkEnd w:id="58"/>
    <w:p w14:paraId="4874A985" w14:textId="26A415AF" w:rsidR="00383C9C" w:rsidRDefault="000A53A2" w:rsidP="00B52BA6">
      <w:pPr>
        <w:pStyle w:val="Heading6"/>
      </w:pPr>
      <w:r>
        <w:t>6</w:t>
      </w:r>
      <w:r w:rsidR="00C910F6">
        <w:t>.2</w:t>
      </w:r>
      <w:r w:rsidR="00383C9C">
        <w:t>.1</w:t>
      </w:r>
      <w:r w:rsidR="000158B2">
        <w:t>.1</w:t>
      </w:r>
      <w:r>
        <w:tab/>
      </w:r>
      <w:r w:rsidR="00383C9C">
        <w:t xml:space="preserve">Reasons for Not Publicly Reporting or Use in Other Accountability Application </w:t>
      </w:r>
    </w:p>
    <w:p w14:paraId="64A9ED20" w14:textId="6FCC4FCB" w:rsidR="00B70BC7" w:rsidRPr="005A40A8" w:rsidRDefault="115D8317" w:rsidP="007A0081">
      <w:pPr>
        <w:pStyle w:val="BlueprintText"/>
      </w:pPr>
      <w:bookmarkStart w:id="59" w:name="_Hlk503277684"/>
      <w:r>
        <w:t xml:space="preserve">The measure is </w:t>
      </w:r>
      <w:r w:rsidR="00E11480">
        <w:t xml:space="preserve">currently under development, and </w:t>
      </w:r>
      <w:r w:rsidR="427D0AD9">
        <w:t>final implementation decisions for reporting and/or use in other accountability programs have not yet been decided.</w:t>
      </w:r>
    </w:p>
    <w:p w14:paraId="6CF840FF" w14:textId="01BA570B" w:rsidR="00383C9C" w:rsidRPr="005A40A8" w:rsidRDefault="000A53A2" w:rsidP="00B52BA6">
      <w:pPr>
        <w:pStyle w:val="Heading6"/>
      </w:pPr>
      <w:r w:rsidRPr="005A40A8">
        <w:t>6</w:t>
      </w:r>
      <w:r w:rsidR="00C910F6" w:rsidRPr="005A40A8">
        <w:t>.2</w:t>
      </w:r>
      <w:r w:rsidR="00383C9C" w:rsidRPr="005A40A8">
        <w:t>.</w:t>
      </w:r>
      <w:r w:rsidR="000158B2" w:rsidRPr="005A40A8">
        <w:t>1.2</w:t>
      </w:r>
      <w:r w:rsidR="00383C9C" w:rsidRPr="005A40A8">
        <w:tab/>
        <w:t xml:space="preserve">Plan for Implementation </w:t>
      </w:r>
    </w:p>
    <w:p w14:paraId="499605F0" w14:textId="42DA32CC" w:rsidR="00B70BC7" w:rsidRPr="00B70BC7" w:rsidRDefault="6A8A4483" w:rsidP="00B70BC7">
      <w:pPr>
        <w:pStyle w:val="BlueprintText"/>
      </w:pPr>
      <w:r>
        <w:t xml:space="preserve">The measure is </w:t>
      </w:r>
      <w:r w:rsidR="00DB5ADC">
        <w:t>currently under development; no</w:t>
      </w:r>
      <w:r w:rsidR="005B7D16">
        <w:t xml:space="preserve"> final implementation decisions</w:t>
      </w:r>
      <w:r w:rsidR="44BA5FFA">
        <w:t xml:space="preserve"> have been made yet</w:t>
      </w:r>
      <w:r w:rsidR="005B7D16">
        <w:t>.</w:t>
      </w:r>
    </w:p>
    <w:bookmarkEnd w:id="59"/>
    <w:p w14:paraId="2B8BB826" w14:textId="4F179E0F" w:rsidR="00383C9C" w:rsidRPr="003E4F33" w:rsidRDefault="000A53A2" w:rsidP="00B52BA6">
      <w:pPr>
        <w:pStyle w:val="Heading5"/>
      </w:pPr>
      <w:r>
        <w:t>6</w:t>
      </w:r>
      <w:r w:rsidR="00C910F6">
        <w:t>.</w:t>
      </w:r>
      <w:r w:rsidR="002003D8">
        <w:t>2</w:t>
      </w:r>
      <w:r w:rsidR="00383C9C" w:rsidRPr="003E4F33">
        <w:t>.</w:t>
      </w:r>
      <w:r w:rsidR="000158B2">
        <w:t>2</w:t>
      </w:r>
      <w:r w:rsidR="00383C9C">
        <w:tab/>
      </w:r>
      <w:r w:rsidR="00383C9C" w:rsidRPr="003E4F33">
        <w:t xml:space="preserve">Feedback on the </w:t>
      </w:r>
      <w:r w:rsidR="00383C9C">
        <w:t>M</w:t>
      </w:r>
      <w:r w:rsidR="00383C9C" w:rsidRPr="003E4F33">
        <w:t xml:space="preserve">easure by </w:t>
      </w:r>
      <w:r w:rsidR="00383C9C">
        <w:t>M</w:t>
      </w:r>
      <w:r w:rsidR="00383C9C" w:rsidRPr="003E4F33">
        <w:t xml:space="preserve">easured </w:t>
      </w:r>
      <w:r w:rsidR="005E3A7C">
        <w:t xml:space="preserve">Entities </w:t>
      </w:r>
      <w:r w:rsidR="00383C9C" w:rsidRPr="003E4F33">
        <w:t xml:space="preserve">or </w:t>
      </w:r>
      <w:r w:rsidR="00383C9C">
        <w:t>O</w:t>
      </w:r>
      <w:r w:rsidR="00383C9C" w:rsidRPr="003E4F33">
        <w:t xml:space="preserve">thers </w:t>
      </w:r>
    </w:p>
    <w:p w14:paraId="2A245855" w14:textId="724DDF6E" w:rsidR="00383C9C" w:rsidRDefault="000A53A2" w:rsidP="00B52BA6">
      <w:pPr>
        <w:pStyle w:val="Heading6"/>
      </w:pPr>
      <w:r>
        <w:t>6</w:t>
      </w:r>
      <w:r w:rsidR="00C910F6">
        <w:t>.2</w:t>
      </w:r>
      <w:r w:rsidR="002003D8">
        <w:t>.</w:t>
      </w:r>
      <w:r w:rsidR="000158B2">
        <w:t>2.1</w:t>
      </w:r>
      <w:r>
        <w:tab/>
      </w:r>
      <w:r w:rsidR="00383C9C">
        <w:t xml:space="preserve">Technical Assistance Provided During Development or Implementation </w:t>
      </w:r>
    </w:p>
    <w:p w14:paraId="51A218C4" w14:textId="2A871CBE" w:rsidR="64F039EB" w:rsidRDefault="64F039EB" w:rsidP="1B174BA5">
      <w:pPr>
        <w:pStyle w:val="BlueprintText"/>
      </w:pPr>
      <w:r>
        <w:lastRenderedPageBreak/>
        <w:t xml:space="preserve">The measure </w:t>
      </w:r>
      <w:r w:rsidR="6EF0BC58">
        <w:t>has not required technical assistance during development.</w:t>
      </w:r>
    </w:p>
    <w:p w14:paraId="01B7C736" w14:textId="415907C4" w:rsidR="00383C9C" w:rsidRDefault="000A53A2" w:rsidP="00B52BA6">
      <w:pPr>
        <w:pStyle w:val="Heading6"/>
      </w:pPr>
      <w:r>
        <w:t>6</w:t>
      </w:r>
      <w:r w:rsidR="00C910F6">
        <w:t>.2</w:t>
      </w:r>
      <w:r w:rsidR="002003D8">
        <w:t>.</w:t>
      </w:r>
      <w:r w:rsidR="000158B2">
        <w:t>2.2</w:t>
      </w:r>
      <w:r>
        <w:tab/>
      </w:r>
      <w:r w:rsidR="00383C9C">
        <w:t xml:space="preserve">Technical Assistance with Results </w:t>
      </w:r>
    </w:p>
    <w:p w14:paraId="7F0C91E1" w14:textId="2A75A32D" w:rsidR="102B8C83" w:rsidRDefault="102B8C83" w:rsidP="1B174BA5">
      <w:pPr>
        <w:pStyle w:val="BlueprintText"/>
      </w:pPr>
      <w:r>
        <w:t>The measure has not required technical assistance during development.</w:t>
      </w:r>
    </w:p>
    <w:p w14:paraId="050DE9E4" w14:textId="555549DB" w:rsidR="00383C9C" w:rsidRDefault="000A53A2" w:rsidP="00B52BA6">
      <w:pPr>
        <w:pStyle w:val="Heading6"/>
      </w:pPr>
      <w:r>
        <w:t>6</w:t>
      </w:r>
      <w:r w:rsidR="00C910F6">
        <w:t>.2</w:t>
      </w:r>
      <w:r w:rsidR="002003D8">
        <w:t>.</w:t>
      </w:r>
      <w:r w:rsidR="000158B2">
        <w:t>2.3</w:t>
      </w:r>
      <w:r>
        <w:tab/>
      </w:r>
      <w:r w:rsidR="00383C9C">
        <w:t xml:space="preserve">Feedback on Measure Performance and Implementation </w:t>
      </w:r>
    </w:p>
    <w:p w14:paraId="1F404280" w14:textId="5753DE18" w:rsidR="6673FCE6" w:rsidRDefault="6673FCE6" w:rsidP="1B174BA5">
      <w:pPr>
        <w:pStyle w:val="BlueprintText"/>
      </w:pPr>
      <w:r>
        <w:t>Feedback on final measure performance has been reported above.</w:t>
      </w:r>
    </w:p>
    <w:p w14:paraId="065F8FDC" w14:textId="1E74ADA9" w:rsidR="00383C9C" w:rsidRDefault="000A53A2" w:rsidP="00B52BA6">
      <w:pPr>
        <w:pStyle w:val="Heading6"/>
      </w:pPr>
      <w:r>
        <w:t>6</w:t>
      </w:r>
      <w:r w:rsidR="00C910F6">
        <w:t>.</w:t>
      </w:r>
      <w:r w:rsidR="002003D8">
        <w:t>2.</w:t>
      </w:r>
      <w:r w:rsidR="000158B2">
        <w:t>2.4</w:t>
      </w:r>
      <w:r>
        <w:tab/>
      </w:r>
      <w:r w:rsidR="00383C9C">
        <w:t xml:space="preserve">Feedback from </w:t>
      </w:r>
      <w:r w:rsidR="00505397">
        <w:t xml:space="preserve">Measured </w:t>
      </w:r>
      <w:r w:rsidR="009A24C1">
        <w:t>Entities</w:t>
      </w:r>
      <w:r w:rsidR="00383C9C">
        <w:t xml:space="preserve"> </w:t>
      </w:r>
    </w:p>
    <w:p w14:paraId="37A5CA4B" w14:textId="3BF2C3C8" w:rsidR="7CB98C2F" w:rsidRDefault="7CB98C2F" w:rsidP="109B55FF">
      <w:pPr>
        <w:pStyle w:val="BlueprintText"/>
      </w:pPr>
      <w:r>
        <w:t>The measure is under development; no testing has been completed yet.</w:t>
      </w:r>
    </w:p>
    <w:p w14:paraId="038DD8B2" w14:textId="6DEC3315" w:rsidR="00383C9C" w:rsidRDefault="000A53A2" w:rsidP="00B52BA6">
      <w:pPr>
        <w:pStyle w:val="Heading6"/>
      </w:pPr>
      <w:r>
        <w:t>6</w:t>
      </w:r>
      <w:r w:rsidR="00C910F6">
        <w:t>.2</w:t>
      </w:r>
      <w:r w:rsidR="002003D8">
        <w:t>.</w:t>
      </w:r>
      <w:r w:rsidR="000158B2">
        <w:t>2.5</w:t>
      </w:r>
      <w:r>
        <w:tab/>
      </w:r>
      <w:r w:rsidR="00383C9C">
        <w:t xml:space="preserve">Feedback from Other Users </w:t>
      </w:r>
    </w:p>
    <w:p w14:paraId="14C06138" w14:textId="06C24629" w:rsidR="4B45B1A4" w:rsidRDefault="4B45B1A4" w:rsidP="1B174BA5">
      <w:pPr>
        <w:pStyle w:val="BlueprintText"/>
      </w:pPr>
      <w:r>
        <w:t>Feedback from stakeholders, including TEP and patient workgroup members, and robust response from public comment have supported measure development through the stages of development to date.</w:t>
      </w:r>
    </w:p>
    <w:p w14:paraId="79998437" w14:textId="31F8B255" w:rsidR="00383C9C" w:rsidRDefault="000A53A2" w:rsidP="00B52BA6">
      <w:pPr>
        <w:pStyle w:val="Heading6"/>
      </w:pPr>
      <w:r>
        <w:t>6</w:t>
      </w:r>
      <w:r w:rsidR="00C910F6">
        <w:t>.2</w:t>
      </w:r>
      <w:r w:rsidR="002003D8">
        <w:t>.</w:t>
      </w:r>
      <w:r w:rsidR="000158B2">
        <w:t>2.6</w:t>
      </w:r>
      <w:r>
        <w:tab/>
      </w:r>
      <w:r w:rsidR="00383C9C">
        <w:t xml:space="preserve">Consideration of Feedback </w:t>
      </w:r>
    </w:p>
    <w:p w14:paraId="28EDF475" w14:textId="10F8C99B" w:rsidR="6925EEF6" w:rsidRDefault="6925EEF6" w:rsidP="1B174BA5">
      <w:pPr>
        <w:pStyle w:val="BlueprintText"/>
      </w:pPr>
      <w:r>
        <w:t>All feedback has been considered in development of the measure.</w:t>
      </w:r>
    </w:p>
    <w:p w14:paraId="7438B4F6" w14:textId="77777777" w:rsidR="00C90FC7" w:rsidRDefault="00C90FC7">
      <w:pPr>
        <w:rPr>
          <w:b/>
          <w:bCs/>
          <w:lang w:eastAsia="ja-JP"/>
        </w:rPr>
      </w:pPr>
      <w:r>
        <w:br w:type="page"/>
      </w:r>
    </w:p>
    <w:p w14:paraId="17F149EA" w14:textId="79455772" w:rsidR="00772065" w:rsidRPr="002A7DCC" w:rsidRDefault="00772065" w:rsidP="00C23C64">
      <w:pPr>
        <w:pStyle w:val="Heading2"/>
      </w:pPr>
      <w:r w:rsidRPr="002A7DCC">
        <w:lastRenderedPageBreak/>
        <w:t xml:space="preserve">Additional Information </w:t>
      </w:r>
    </w:p>
    <w:p w14:paraId="7A9D693A" w14:textId="38D6B407" w:rsidR="00356C5C" w:rsidRPr="0037566B" w:rsidRDefault="00772065" w:rsidP="00356C5C">
      <w:pPr>
        <w:pStyle w:val="BlueprintText"/>
        <w:rPr>
          <w:b/>
          <w:i/>
          <w:lang w:eastAsia="ja-JP"/>
        </w:rPr>
      </w:pPr>
      <w:r w:rsidRPr="00616D86">
        <w:rPr>
          <w:b/>
          <w:i/>
          <w:lang w:eastAsia="ja-JP"/>
        </w:rPr>
        <w:t>Appendix</w:t>
      </w:r>
    </w:p>
    <w:p w14:paraId="1E377138" w14:textId="77777777" w:rsidR="00772065" w:rsidRPr="00616D86" w:rsidRDefault="00772065" w:rsidP="00772065">
      <w:pPr>
        <w:pStyle w:val="BlueprintText"/>
        <w:rPr>
          <w:b/>
          <w:i/>
          <w:lang w:eastAsia="ja-JP"/>
        </w:rPr>
      </w:pPr>
      <w:r w:rsidRPr="00616D86">
        <w:rPr>
          <w:b/>
          <w:i/>
          <w:lang w:eastAsia="ja-JP"/>
        </w:rPr>
        <w:t>Other Additional Information</w:t>
      </w:r>
    </w:p>
    <w:p w14:paraId="4FFF3A2C" w14:textId="77777777" w:rsidR="00772065" w:rsidRDefault="00772065" w:rsidP="00772065">
      <w:pPr>
        <w:pStyle w:val="BlueprintText"/>
      </w:pPr>
      <w:bookmarkStart w:id="60" w:name="_Hlk503279728"/>
      <w:r>
        <w:t>Ad.1. Working Group/Expert Panel Involved in Measure Development</w:t>
      </w:r>
    </w:p>
    <w:p w14:paraId="3246A746" w14:textId="6CFC387E" w:rsidR="00DB45A4" w:rsidRDefault="00356C5C" w:rsidP="00ED7DD5">
      <w:pPr>
        <w:pStyle w:val="BlueprintText"/>
      </w:pPr>
      <w:bookmarkStart w:id="61" w:name="_Toc160629691"/>
      <w:r w:rsidRPr="00356C5C">
        <w:rPr>
          <w:b/>
          <w:bCs/>
        </w:rPr>
        <w:t>Technical Expert Panel (TEP)</w:t>
      </w:r>
      <w:r>
        <w:rPr>
          <w:b/>
          <w:bCs/>
        </w:rPr>
        <w:t xml:space="preserve"> </w:t>
      </w:r>
      <w:r>
        <w:t xml:space="preserve">– </w:t>
      </w:r>
      <w:hyperlink w:anchor="table6" w:history="1">
        <w:r w:rsidR="005729C3">
          <w:rPr>
            <w:rStyle w:val="Hyperlink"/>
          </w:rPr>
          <w:t>Table 6</w:t>
        </w:r>
      </w:hyperlink>
      <w:r w:rsidR="00153ABD">
        <w:t xml:space="preserve"> below includes the names, titles, and organizations of TEP members who provided input in measure development.</w:t>
      </w:r>
      <w:bookmarkEnd w:id="61"/>
    </w:p>
    <w:p w14:paraId="7977729B" w14:textId="65036226" w:rsidR="00A2288E" w:rsidRDefault="00A2288E" w:rsidP="00A2288E">
      <w:pPr>
        <w:pStyle w:val="Caption"/>
      </w:pPr>
      <w:bookmarkStart w:id="62" w:name="table5"/>
      <w:bookmarkStart w:id="63" w:name="table6"/>
      <w:r w:rsidRPr="00F36CCB">
        <w:t>Table</w:t>
      </w:r>
      <w:r>
        <w:t xml:space="preserve"> </w:t>
      </w:r>
      <w:r w:rsidR="005729C3">
        <w:t>6</w:t>
      </w:r>
      <w:r w:rsidR="003166C1">
        <w:t>.</w:t>
      </w:r>
      <w:r w:rsidRPr="00F36CCB">
        <w:t xml:space="preserve"> TEP Member Name, Affiliation and Location</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252"/>
        <w:gridCol w:w="5550"/>
        <w:gridCol w:w="1560"/>
      </w:tblGrid>
      <w:tr w:rsidR="00A2288E" w14:paraId="3DB39B5D" w14:textId="77777777" w:rsidTr="00B51F1C">
        <w:trPr>
          <w:trHeight w:val="299"/>
          <w:tblHeader/>
        </w:trPr>
        <w:tc>
          <w:tcPr>
            <w:tcW w:w="2252" w:type="dxa"/>
            <w:shd w:val="clear" w:color="auto" w:fill="DAE5F1"/>
          </w:tcPr>
          <w:p w14:paraId="02D4D121" w14:textId="77777777" w:rsidR="00A2288E" w:rsidRDefault="00A2288E" w:rsidP="00B51F1C">
            <w:pPr>
              <w:pStyle w:val="TableParagraph"/>
              <w:spacing w:before="2" w:line="277" w:lineRule="exact"/>
              <w:ind w:left="762" w:right="749"/>
              <w:jc w:val="center"/>
              <w:rPr>
                <w:b/>
                <w:sz w:val="24"/>
              </w:rPr>
            </w:pPr>
            <w:bookmarkStart w:id="64" w:name="_Hlk148104552"/>
            <w:bookmarkStart w:id="65" w:name="_Hlk503279742"/>
            <w:bookmarkEnd w:id="60"/>
            <w:bookmarkEnd w:id="62"/>
            <w:bookmarkEnd w:id="63"/>
            <w:r>
              <w:rPr>
                <w:b/>
                <w:spacing w:val="-4"/>
                <w:sz w:val="24"/>
              </w:rPr>
              <w:t>Name</w:t>
            </w:r>
          </w:p>
        </w:tc>
        <w:tc>
          <w:tcPr>
            <w:tcW w:w="5550" w:type="dxa"/>
            <w:shd w:val="clear" w:color="auto" w:fill="DAE5F1"/>
          </w:tcPr>
          <w:p w14:paraId="39679E14" w14:textId="77777777" w:rsidR="00A2288E" w:rsidRDefault="00A2288E" w:rsidP="00B51F1C">
            <w:pPr>
              <w:pStyle w:val="TableParagraph"/>
              <w:spacing w:before="2" w:line="277" w:lineRule="exact"/>
              <w:ind w:left="20" w:right="6"/>
              <w:jc w:val="center"/>
              <w:rPr>
                <w:b/>
                <w:sz w:val="24"/>
              </w:rPr>
            </w:pPr>
            <w:r>
              <w:rPr>
                <w:b/>
                <w:sz w:val="24"/>
              </w:rPr>
              <w:t>Organization</w:t>
            </w:r>
            <w:r>
              <w:rPr>
                <w:b/>
                <w:spacing w:val="-7"/>
                <w:sz w:val="24"/>
              </w:rPr>
              <w:t xml:space="preserve"> </w:t>
            </w:r>
            <w:r>
              <w:rPr>
                <w:b/>
                <w:sz w:val="24"/>
              </w:rPr>
              <w:t>(title);</w:t>
            </w:r>
            <w:r>
              <w:rPr>
                <w:b/>
                <w:spacing w:val="-5"/>
                <w:sz w:val="24"/>
              </w:rPr>
              <w:t xml:space="preserve"> </w:t>
            </w:r>
            <w:r>
              <w:rPr>
                <w:b/>
                <w:sz w:val="24"/>
              </w:rPr>
              <w:t>clinical</w:t>
            </w:r>
            <w:r>
              <w:rPr>
                <w:b/>
                <w:spacing w:val="-5"/>
                <w:sz w:val="24"/>
              </w:rPr>
              <w:t xml:space="preserve"> </w:t>
            </w:r>
            <w:r>
              <w:rPr>
                <w:b/>
                <w:sz w:val="24"/>
              </w:rPr>
              <w:t>specialty,</w:t>
            </w:r>
            <w:r>
              <w:rPr>
                <w:b/>
                <w:spacing w:val="-4"/>
                <w:sz w:val="24"/>
              </w:rPr>
              <w:t xml:space="preserve"> </w:t>
            </w:r>
            <w:r>
              <w:rPr>
                <w:b/>
                <w:sz w:val="24"/>
              </w:rPr>
              <w:t>if</w:t>
            </w:r>
            <w:r>
              <w:rPr>
                <w:b/>
                <w:spacing w:val="-4"/>
                <w:sz w:val="24"/>
              </w:rPr>
              <w:t xml:space="preserve"> </w:t>
            </w:r>
            <w:r>
              <w:rPr>
                <w:b/>
                <w:spacing w:val="-2"/>
                <w:sz w:val="24"/>
              </w:rPr>
              <w:t>applicable</w:t>
            </w:r>
          </w:p>
        </w:tc>
        <w:tc>
          <w:tcPr>
            <w:tcW w:w="1560" w:type="dxa"/>
            <w:shd w:val="clear" w:color="auto" w:fill="DAE5F1"/>
          </w:tcPr>
          <w:p w14:paraId="57283CDC" w14:textId="77777777" w:rsidR="00A2288E" w:rsidRDefault="00A2288E" w:rsidP="00B51F1C">
            <w:pPr>
              <w:pStyle w:val="TableParagraph"/>
              <w:spacing w:before="2" w:line="277" w:lineRule="exact"/>
              <w:ind w:left="355"/>
              <w:jc w:val="center"/>
              <w:rPr>
                <w:b/>
                <w:sz w:val="24"/>
              </w:rPr>
            </w:pPr>
            <w:r>
              <w:rPr>
                <w:b/>
                <w:spacing w:val="-2"/>
                <w:sz w:val="24"/>
              </w:rPr>
              <w:t>Location</w:t>
            </w:r>
          </w:p>
        </w:tc>
      </w:tr>
      <w:tr w:rsidR="00A2288E" w14:paraId="5236A417" w14:textId="77777777" w:rsidTr="00B51F1C">
        <w:trPr>
          <w:trHeight w:val="586"/>
        </w:trPr>
        <w:tc>
          <w:tcPr>
            <w:tcW w:w="2252" w:type="dxa"/>
          </w:tcPr>
          <w:p w14:paraId="2E5C17A7" w14:textId="77777777" w:rsidR="00A2288E" w:rsidRDefault="00A2288E" w:rsidP="00B51F1C">
            <w:pPr>
              <w:pStyle w:val="TableParagraph"/>
              <w:spacing w:line="290" w:lineRule="atLeast"/>
              <w:rPr>
                <w:sz w:val="24"/>
              </w:rPr>
            </w:pPr>
            <w:proofErr w:type="spellStart"/>
            <w:r>
              <w:rPr>
                <w:sz w:val="24"/>
              </w:rPr>
              <w:t>JohnMarc</w:t>
            </w:r>
            <w:proofErr w:type="spellEnd"/>
            <w:r>
              <w:rPr>
                <w:spacing w:val="-14"/>
                <w:sz w:val="24"/>
              </w:rPr>
              <w:t xml:space="preserve"> </w:t>
            </w:r>
            <w:r>
              <w:rPr>
                <w:sz w:val="24"/>
              </w:rPr>
              <w:t>Alban,</w:t>
            </w:r>
            <w:r>
              <w:rPr>
                <w:spacing w:val="-14"/>
                <w:sz w:val="24"/>
              </w:rPr>
              <w:t xml:space="preserve"> </w:t>
            </w:r>
            <w:r>
              <w:rPr>
                <w:sz w:val="24"/>
              </w:rPr>
              <w:t>MS, RN, CPHIMS</w:t>
            </w:r>
          </w:p>
        </w:tc>
        <w:tc>
          <w:tcPr>
            <w:tcW w:w="5550" w:type="dxa"/>
          </w:tcPr>
          <w:p w14:paraId="1E04257B" w14:textId="77777777" w:rsidR="00A2288E" w:rsidRDefault="00A2288E" w:rsidP="00B51F1C">
            <w:pPr>
              <w:pStyle w:val="TableParagraph"/>
              <w:spacing w:line="290" w:lineRule="atLeast"/>
              <w:ind w:left="0"/>
              <w:jc w:val="center"/>
              <w:rPr>
                <w:sz w:val="24"/>
              </w:rPr>
            </w:pPr>
            <w:r>
              <w:rPr>
                <w:sz w:val="24"/>
              </w:rPr>
              <w:t>The</w:t>
            </w:r>
            <w:r>
              <w:rPr>
                <w:spacing w:val="-8"/>
                <w:sz w:val="24"/>
              </w:rPr>
              <w:t xml:space="preserve"> </w:t>
            </w:r>
            <w:r>
              <w:rPr>
                <w:sz w:val="24"/>
              </w:rPr>
              <w:t>Joint</w:t>
            </w:r>
            <w:r>
              <w:rPr>
                <w:spacing w:val="-9"/>
                <w:sz w:val="24"/>
              </w:rPr>
              <w:t xml:space="preserve"> </w:t>
            </w:r>
            <w:r>
              <w:rPr>
                <w:sz w:val="24"/>
              </w:rPr>
              <w:t>Commission</w:t>
            </w:r>
            <w:r>
              <w:rPr>
                <w:spacing w:val="-9"/>
                <w:sz w:val="24"/>
              </w:rPr>
              <w:t xml:space="preserve"> </w:t>
            </w:r>
            <w:r>
              <w:rPr>
                <w:sz w:val="24"/>
              </w:rPr>
              <w:t>(Associate</w:t>
            </w:r>
            <w:r>
              <w:rPr>
                <w:spacing w:val="-8"/>
                <w:sz w:val="24"/>
              </w:rPr>
              <w:t xml:space="preserve"> </w:t>
            </w:r>
            <w:r>
              <w:rPr>
                <w:sz w:val="24"/>
              </w:rPr>
              <w:t>Director,</w:t>
            </w:r>
            <w:r>
              <w:rPr>
                <w:spacing w:val="-9"/>
                <w:sz w:val="24"/>
              </w:rPr>
              <w:t xml:space="preserve"> </w:t>
            </w:r>
            <w:r>
              <w:rPr>
                <w:sz w:val="24"/>
              </w:rPr>
              <w:t>Quality Measurement &amp; Informatics)</w:t>
            </w:r>
          </w:p>
        </w:tc>
        <w:tc>
          <w:tcPr>
            <w:tcW w:w="1560" w:type="dxa"/>
          </w:tcPr>
          <w:p w14:paraId="201EA1EC" w14:textId="77777777" w:rsidR="00A2288E" w:rsidRDefault="00A2288E" w:rsidP="00B51F1C">
            <w:pPr>
              <w:pStyle w:val="TableParagraph"/>
              <w:spacing w:line="290" w:lineRule="atLeast"/>
              <w:ind w:left="0" w:right="278"/>
              <w:jc w:val="center"/>
              <w:rPr>
                <w:sz w:val="24"/>
              </w:rPr>
            </w:pPr>
            <w:proofErr w:type="spellStart"/>
            <w:r>
              <w:rPr>
                <w:spacing w:val="-2"/>
                <w:sz w:val="24"/>
              </w:rPr>
              <w:t>Oakbrook</w:t>
            </w:r>
            <w:r>
              <w:rPr>
                <w:sz w:val="24"/>
              </w:rPr>
              <w:t>Terrace</w:t>
            </w:r>
            <w:proofErr w:type="spellEnd"/>
            <w:r>
              <w:rPr>
                <w:sz w:val="24"/>
              </w:rPr>
              <w:t>,</w:t>
            </w:r>
            <w:r>
              <w:rPr>
                <w:spacing w:val="-3"/>
                <w:sz w:val="24"/>
              </w:rPr>
              <w:t xml:space="preserve"> </w:t>
            </w:r>
            <w:r>
              <w:rPr>
                <w:spacing w:val="-5"/>
                <w:sz w:val="24"/>
              </w:rPr>
              <w:t>IL</w:t>
            </w:r>
          </w:p>
        </w:tc>
      </w:tr>
      <w:tr w:rsidR="00A2288E" w14:paraId="334BCA88" w14:textId="77777777" w:rsidTr="00B51F1C">
        <w:trPr>
          <w:trHeight w:val="300"/>
        </w:trPr>
        <w:tc>
          <w:tcPr>
            <w:tcW w:w="2252" w:type="dxa"/>
          </w:tcPr>
          <w:p w14:paraId="1541D987" w14:textId="77777777" w:rsidR="00A2288E" w:rsidRDefault="00A2288E" w:rsidP="00B51F1C">
            <w:pPr>
              <w:pStyle w:val="TableParagraph"/>
              <w:spacing w:before="4" w:line="277" w:lineRule="exact"/>
              <w:rPr>
                <w:sz w:val="24"/>
              </w:rPr>
            </w:pPr>
            <w:r>
              <w:rPr>
                <w:sz w:val="24"/>
              </w:rPr>
              <w:t>David</w:t>
            </w:r>
            <w:r>
              <w:rPr>
                <w:spacing w:val="-5"/>
                <w:sz w:val="24"/>
              </w:rPr>
              <w:t xml:space="preserve"> </w:t>
            </w:r>
            <w:r>
              <w:rPr>
                <w:spacing w:val="-2"/>
                <w:sz w:val="24"/>
              </w:rPr>
              <w:t>Andrews</w:t>
            </w:r>
          </w:p>
        </w:tc>
        <w:tc>
          <w:tcPr>
            <w:tcW w:w="5550" w:type="dxa"/>
          </w:tcPr>
          <w:p w14:paraId="1A42DB59" w14:textId="77777777" w:rsidR="00A2288E" w:rsidRDefault="00A2288E" w:rsidP="00B51F1C">
            <w:pPr>
              <w:pStyle w:val="TableParagraph"/>
              <w:spacing w:before="4" w:line="277" w:lineRule="exact"/>
              <w:ind w:right="58"/>
              <w:jc w:val="center"/>
              <w:rPr>
                <w:sz w:val="24"/>
              </w:rPr>
            </w:pPr>
            <w:r>
              <w:rPr>
                <w:sz w:val="24"/>
              </w:rPr>
              <w:t>Patient/Caregiver</w:t>
            </w:r>
            <w:r>
              <w:rPr>
                <w:spacing w:val="-11"/>
                <w:sz w:val="24"/>
              </w:rPr>
              <w:t xml:space="preserve"> </w:t>
            </w:r>
            <w:r>
              <w:rPr>
                <w:spacing w:val="-2"/>
                <w:sz w:val="24"/>
              </w:rPr>
              <w:t>Representative</w:t>
            </w:r>
          </w:p>
        </w:tc>
        <w:tc>
          <w:tcPr>
            <w:tcW w:w="1560" w:type="dxa"/>
          </w:tcPr>
          <w:p w14:paraId="11E5ADDE" w14:textId="77777777" w:rsidR="00A2288E" w:rsidRDefault="00A2288E" w:rsidP="00B51F1C">
            <w:pPr>
              <w:pStyle w:val="TableParagraph"/>
              <w:spacing w:before="4" w:line="277" w:lineRule="exact"/>
              <w:ind w:left="0"/>
              <w:jc w:val="center"/>
              <w:rPr>
                <w:sz w:val="24"/>
              </w:rPr>
            </w:pPr>
            <w:r>
              <w:rPr>
                <w:sz w:val="24"/>
              </w:rPr>
              <w:t>Aiken,</w:t>
            </w:r>
            <w:r>
              <w:rPr>
                <w:spacing w:val="-4"/>
                <w:sz w:val="24"/>
              </w:rPr>
              <w:t xml:space="preserve"> </w:t>
            </w:r>
            <w:r>
              <w:rPr>
                <w:spacing w:val="-5"/>
                <w:sz w:val="24"/>
              </w:rPr>
              <w:t>SC</w:t>
            </w:r>
          </w:p>
        </w:tc>
      </w:tr>
      <w:tr w:rsidR="00A2288E" w14:paraId="6F16C138" w14:textId="77777777" w:rsidTr="00B51F1C">
        <w:trPr>
          <w:trHeight w:val="878"/>
        </w:trPr>
        <w:tc>
          <w:tcPr>
            <w:tcW w:w="2252" w:type="dxa"/>
          </w:tcPr>
          <w:p w14:paraId="7DA595AD" w14:textId="77777777" w:rsidR="00A2288E" w:rsidRDefault="00A2288E" w:rsidP="00B51F1C">
            <w:pPr>
              <w:pStyle w:val="TableParagraph"/>
              <w:ind w:left="0"/>
              <w:rPr>
                <w:sz w:val="24"/>
              </w:rPr>
            </w:pPr>
            <w:r>
              <w:rPr>
                <w:sz w:val="24"/>
              </w:rPr>
              <w:t>Kelly</w:t>
            </w:r>
            <w:r>
              <w:rPr>
                <w:spacing w:val="-4"/>
                <w:sz w:val="24"/>
              </w:rPr>
              <w:t xml:space="preserve"> </w:t>
            </w:r>
            <w:r>
              <w:rPr>
                <w:sz w:val="24"/>
              </w:rPr>
              <w:t>Bookman,</w:t>
            </w:r>
            <w:r>
              <w:rPr>
                <w:spacing w:val="-4"/>
                <w:sz w:val="24"/>
              </w:rPr>
              <w:t xml:space="preserve"> </w:t>
            </w:r>
            <w:r>
              <w:rPr>
                <w:spacing w:val="-5"/>
                <w:sz w:val="24"/>
              </w:rPr>
              <w:t>MD</w:t>
            </w:r>
          </w:p>
        </w:tc>
        <w:tc>
          <w:tcPr>
            <w:tcW w:w="5550" w:type="dxa"/>
          </w:tcPr>
          <w:p w14:paraId="546BF89F" w14:textId="77777777" w:rsidR="00A2288E" w:rsidRDefault="00A2288E" w:rsidP="00B51F1C">
            <w:pPr>
              <w:pStyle w:val="TableParagraph"/>
              <w:ind w:right="54"/>
              <w:jc w:val="center"/>
              <w:rPr>
                <w:sz w:val="24"/>
              </w:rPr>
            </w:pPr>
            <w:r>
              <w:rPr>
                <w:sz w:val="24"/>
              </w:rPr>
              <w:t>University of Colorado School of Medicine, UC Health (Professor</w:t>
            </w:r>
            <w:r>
              <w:rPr>
                <w:spacing w:val="-6"/>
                <w:sz w:val="24"/>
              </w:rPr>
              <w:t xml:space="preserve"> </w:t>
            </w:r>
            <w:r>
              <w:rPr>
                <w:sz w:val="24"/>
              </w:rPr>
              <w:t>and</w:t>
            </w:r>
            <w:r>
              <w:rPr>
                <w:spacing w:val="-6"/>
                <w:sz w:val="24"/>
              </w:rPr>
              <w:t xml:space="preserve"> </w:t>
            </w:r>
            <w:r>
              <w:rPr>
                <w:sz w:val="24"/>
              </w:rPr>
              <w:t>Vice</w:t>
            </w:r>
            <w:r>
              <w:rPr>
                <w:spacing w:val="-5"/>
                <w:sz w:val="24"/>
              </w:rPr>
              <w:t xml:space="preserve"> </w:t>
            </w:r>
            <w:r>
              <w:rPr>
                <w:sz w:val="24"/>
              </w:rPr>
              <w:t>Chair</w:t>
            </w:r>
            <w:r>
              <w:rPr>
                <w:spacing w:val="-5"/>
                <w:sz w:val="24"/>
              </w:rPr>
              <w:t xml:space="preserve"> </w:t>
            </w:r>
            <w:r>
              <w:rPr>
                <w:sz w:val="24"/>
              </w:rPr>
              <w:t>of</w:t>
            </w:r>
            <w:r>
              <w:rPr>
                <w:spacing w:val="-6"/>
                <w:sz w:val="24"/>
              </w:rPr>
              <w:t xml:space="preserve"> </w:t>
            </w:r>
            <w:r>
              <w:rPr>
                <w:sz w:val="24"/>
              </w:rPr>
              <w:t>Operations,</w:t>
            </w:r>
            <w:r>
              <w:rPr>
                <w:spacing w:val="-5"/>
                <w:sz w:val="24"/>
              </w:rPr>
              <w:t xml:space="preserve"> </w:t>
            </w:r>
            <w:r>
              <w:rPr>
                <w:sz w:val="24"/>
              </w:rPr>
              <w:t>Senior</w:t>
            </w:r>
            <w:r>
              <w:rPr>
                <w:spacing w:val="-5"/>
                <w:sz w:val="24"/>
              </w:rPr>
              <w:t xml:space="preserve"> </w:t>
            </w:r>
            <w:r>
              <w:rPr>
                <w:sz w:val="24"/>
              </w:rPr>
              <w:t>Medical Director</w:t>
            </w:r>
            <w:r>
              <w:rPr>
                <w:spacing w:val="-2"/>
                <w:sz w:val="24"/>
              </w:rPr>
              <w:t xml:space="preserve"> </w:t>
            </w:r>
            <w:r>
              <w:rPr>
                <w:sz w:val="24"/>
              </w:rPr>
              <w:t>of</w:t>
            </w:r>
            <w:r>
              <w:rPr>
                <w:spacing w:val="-2"/>
                <w:sz w:val="24"/>
              </w:rPr>
              <w:t xml:space="preserve"> Informatics)</w:t>
            </w:r>
          </w:p>
        </w:tc>
        <w:tc>
          <w:tcPr>
            <w:tcW w:w="1560" w:type="dxa"/>
          </w:tcPr>
          <w:p w14:paraId="4D2DBF75" w14:textId="77777777" w:rsidR="00A2288E" w:rsidRDefault="00A2288E" w:rsidP="00B51F1C">
            <w:pPr>
              <w:pStyle w:val="TableParagraph"/>
              <w:ind w:left="0"/>
              <w:jc w:val="center"/>
              <w:rPr>
                <w:sz w:val="24"/>
              </w:rPr>
            </w:pPr>
            <w:r>
              <w:rPr>
                <w:sz w:val="24"/>
              </w:rPr>
              <w:t>Denver,</w:t>
            </w:r>
            <w:r>
              <w:rPr>
                <w:spacing w:val="-5"/>
                <w:sz w:val="24"/>
              </w:rPr>
              <w:t xml:space="preserve"> CO</w:t>
            </w:r>
          </w:p>
        </w:tc>
      </w:tr>
      <w:tr w:rsidR="00A2288E" w14:paraId="1409F824" w14:textId="77777777" w:rsidTr="00B51F1C">
        <w:trPr>
          <w:trHeight w:val="299"/>
        </w:trPr>
        <w:tc>
          <w:tcPr>
            <w:tcW w:w="2252" w:type="dxa"/>
          </w:tcPr>
          <w:p w14:paraId="56FF79C1" w14:textId="77777777" w:rsidR="00A2288E" w:rsidRDefault="00A2288E" w:rsidP="00B51F1C">
            <w:pPr>
              <w:pStyle w:val="TableParagraph"/>
              <w:spacing w:before="2" w:line="277" w:lineRule="exact"/>
              <w:rPr>
                <w:sz w:val="24"/>
              </w:rPr>
            </w:pPr>
            <w:r>
              <w:rPr>
                <w:sz w:val="24"/>
              </w:rPr>
              <w:t>Joey</w:t>
            </w:r>
            <w:r>
              <w:rPr>
                <w:spacing w:val="-1"/>
                <w:sz w:val="24"/>
              </w:rPr>
              <w:t xml:space="preserve"> </w:t>
            </w:r>
            <w:r>
              <w:rPr>
                <w:spacing w:val="-2"/>
                <w:sz w:val="24"/>
              </w:rPr>
              <w:t>Braggs</w:t>
            </w:r>
          </w:p>
        </w:tc>
        <w:tc>
          <w:tcPr>
            <w:tcW w:w="5550" w:type="dxa"/>
          </w:tcPr>
          <w:p w14:paraId="21EEB70F" w14:textId="77777777" w:rsidR="00A2288E" w:rsidRDefault="00A2288E" w:rsidP="00B51F1C">
            <w:pPr>
              <w:pStyle w:val="TableParagraph"/>
              <w:spacing w:before="2" w:line="277" w:lineRule="exact"/>
              <w:ind w:left="0" w:right="57"/>
              <w:jc w:val="center"/>
              <w:rPr>
                <w:sz w:val="24"/>
              </w:rPr>
            </w:pPr>
            <w:r>
              <w:rPr>
                <w:sz w:val="24"/>
              </w:rPr>
              <w:t>Patient/Caregiver</w:t>
            </w:r>
            <w:r>
              <w:rPr>
                <w:spacing w:val="-9"/>
                <w:sz w:val="24"/>
              </w:rPr>
              <w:t xml:space="preserve"> </w:t>
            </w:r>
            <w:r>
              <w:rPr>
                <w:spacing w:val="-2"/>
                <w:sz w:val="24"/>
              </w:rPr>
              <w:t>Representative</w:t>
            </w:r>
          </w:p>
        </w:tc>
        <w:tc>
          <w:tcPr>
            <w:tcW w:w="1560" w:type="dxa"/>
          </w:tcPr>
          <w:p w14:paraId="5DF17B09" w14:textId="77777777" w:rsidR="00A2288E" w:rsidRDefault="00A2288E" w:rsidP="00B51F1C">
            <w:pPr>
              <w:pStyle w:val="TableParagraph"/>
              <w:spacing w:before="2" w:line="277" w:lineRule="exact"/>
              <w:ind w:left="0"/>
              <w:jc w:val="center"/>
              <w:rPr>
                <w:sz w:val="24"/>
              </w:rPr>
            </w:pPr>
            <w:r>
              <w:rPr>
                <w:sz w:val="24"/>
              </w:rPr>
              <w:t>Detroit,</w:t>
            </w:r>
            <w:r>
              <w:rPr>
                <w:spacing w:val="-5"/>
                <w:sz w:val="24"/>
              </w:rPr>
              <w:t xml:space="preserve"> MI</w:t>
            </w:r>
          </w:p>
        </w:tc>
      </w:tr>
      <w:tr w:rsidR="00A2288E" w14:paraId="0496820C" w14:textId="77777777" w:rsidTr="00B51F1C">
        <w:trPr>
          <w:trHeight w:val="586"/>
        </w:trPr>
        <w:tc>
          <w:tcPr>
            <w:tcW w:w="2252" w:type="dxa"/>
          </w:tcPr>
          <w:p w14:paraId="5D8137D2" w14:textId="77777777" w:rsidR="00A2288E" w:rsidRDefault="00A2288E" w:rsidP="00B51F1C">
            <w:pPr>
              <w:pStyle w:val="TableParagraph"/>
              <w:spacing w:line="290" w:lineRule="atLeast"/>
              <w:ind w:right="351"/>
              <w:rPr>
                <w:sz w:val="24"/>
              </w:rPr>
            </w:pPr>
            <w:r>
              <w:rPr>
                <w:sz w:val="24"/>
              </w:rPr>
              <w:t>Howard</w:t>
            </w:r>
            <w:r>
              <w:rPr>
                <w:spacing w:val="-14"/>
                <w:sz w:val="24"/>
              </w:rPr>
              <w:t xml:space="preserve"> </w:t>
            </w:r>
            <w:r>
              <w:rPr>
                <w:sz w:val="24"/>
              </w:rPr>
              <w:t>Bregman, MD, MS, FAAP</w:t>
            </w:r>
          </w:p>
        </w:tc>
        <w:tc>
          <w:tcPr>
            <w:tcW w:w="5550" w:type="dxa"/>
          </w:tcPr>
          <w:p w14:paraId="41475CB7" w14:textId="77777777" w:rsidR="00A2288E" w:rsidRDefault="00A2288E" w:rsidP="00B51F1C">
            <w:pPr>
              <w:pStyle w:val="TableParagraph"/>
              <w:spacing w:before="146"/>
              <w:ind w:left="0" w:right="64"/>
              <w:jc w:val="center"/>
              <w:rPr>
                <w:sz w:val="24"/>
              </w:rPr>
            </w:pPr>
            <w:r>
              <w:rPr>
                <w:sz w:val="24"/>
              </w:rPr>
              <w:t>Epic</w:t>
            </w:r>
            <w:r>
              <w:rPr>
                <w:spacing w:val="-7"/>
                <w:sz w:val="24"/>
              </w:rPr>
              <w:t xml:space="preserve"> </w:t>
            </w:r>
            <w:r>
              <w:rPr>
                <w:sz w:val="24"/>
              </w:rPr>
              <w:t>Systems</w:t>
            </w:r>
            <w:r>
              <w:rPr>
                <w:spacing w:val="-5"/>
                <w:sz w:val="24"/>
              </w:rPr>
              <w:t xml:space="preserve"> </w:t>
            </w:r>
            <w:r>
              <w:rPr>
                <w:sz w:val="24"/>
              </w:rPr>
              <w:t>Corporation</w:t>
            </w:r>
            <w:r>
              <w:rPr>
                <w:spacing w:val="-5"/>
                <w:sz w:val="24"/>
              </w:rPr>
              <w:t xml:space="preserve"> </w:t>
            </w:r>
            <w:r>
              <w:rPr>
                <w:sz w:val="24"/>
              </w:rPr>
              <w:t>(Director,</w:t>
            </w:r>
            <w:r>
              <w:rPr>
                <w:spacing w:val="-5"/>
                <w:sz w:val="24"/>
              </w:rPr>
              <w:t xml:space="preserve"> </w:t>
            </w:r>
            <w:r>
              <w:rPr>
                <w:sz w:val="24"/>
              </w:rPr>
              <w:t>Clinical</w:t>
            </w:r>
            <w:r>
              <w:rPr>
                <w:spacing w:val="-5"/>
                <w:sz w:val="24"/>
              </w:rPr>
              <w:t xml:space="preserve"> </w:t>
            </w:r>
            <w:r>
              <w:rPr>
                <w:spacing w:val="-2"/>
                <w:sz w:val="24"/>
              </w:rPr>
              <w:t>Informatics)</w:t>
            </w:r>
          </w:p>
        </w:tc>
        <w:tc>
          <w:tcPr>
            <w:tcW w:w="1560" w:type="dxa"/>
          </w:tcPr>
          <w:p w14:paraId="69BCA1C2" w14:textId="77777777" w:rsidR="00A2288E" w:rsidRDefault="00A2288E" w:rsidP="00B51F1C">
            <w:pPr>
              <w:pStyle w:val="TableParagraph"/>
              <w:spacing w:before="146"/>
              <w:ind w:left="0"/>
              <w:jc w:val="center"/>
              <w:rPr>
                <w:sz w:val="24"/>
              </w:rPr>
            </w:pPr>
            <w:r>
              <w:rPr>
                <w:sz w:val="24"/>
              </w:rPr>
              <w:t>Verona,</w:t>
            </w:r>
            <w:r>
              <w:rPr>
                <w:spacing w:val="-4"/>
                <w:sz w:val="24"/>
              </w:rPr>
              <w:t xml:space="preserve"> </w:t>
            </w:r>
            <w:r>
              <w:rPr>
                <w:spacing w:val="-5"/>
                <w:sz w:val="24"/>
              </w:rPr>
              <w:t>WI</w:t>
            </w:r>
          </w:p>
        </w:tc>
      </w:tr>
      <w:tr w:rsidR="00A2288E" w14:paraId="59758098" w14:textId="77777777" w:rsidTr="00B51F1C">
        <w:trPr>
          <w:trHeight w:val="878"/>
        </w:trPr>
        <w:tc>
          <w:tcPr>
            <w:tcW w:w="2252" w:type="dxa"/>
          </w:tcPr>
          <w:p w14:paraId="1D07AF6C" w14:textId="77777777" w:rsidR="00A2288E" w:rsidRDefault="00A2288E" w:rsidP="00B51F1C">
            <w:pPr>
              <w:pStyle w:val="TableParagraph"/>
              <w:spacing w:line="292" w:lineRule="exact"/>
              <w:rPr>
                <w:sz w:val="24"/>
              </w:rPr>
            </w:pPr>
            <w:r>
              <w:rPr>
                <w:sz w:val="24"/>
              </w:rPr>
              <w:t>Teresa</w:t>
            </w:r>
            <w:r>
              <w:rPr>
                <w:spacing w:val="-3"/>
                <w:sz w:val="24"/>
              </w:rPr>
              <w:t xml:space="preserve"> </w:t>
            </w:r>
            <w:r>
              <w:rPr>
                <w:sz w:val="24"/>
              </w:rPr>
              <w:t>M.</w:t>
            </w:r>
            <w:r>
              <w:rPr>
                <w:spacing w:val="-1"/>
                <w:sz w:val="24"/>
              </w:rPr>
              <w:t xml:space="preserve"> </w:t>
            </w:r>
            <w:r>
              <w:rPr>
                <w:spacing w:val="-2"/>
                <w:sz w:val="24"/>
              </w:rPr>
              <w:t>Breslin</w:t>
            </w:r>
            <w:r>
              <w:rPr>
                <w:sz w:val="24"/>
              </w:rPr>
              <w:t xml:space="preserve"> DeLellis,</w:t>
            </w:r>
            <w:r>
              <w:rPr>
                <w:spacing w:val="-14"/>
                <w:sz w:val="24"/>
              </w:rPr>
              <w:t xml:space="preserve"> </w:t>
            </w:r>
            <w:r>
              <w:rPr>
                <w:sz w:val="24"/>
              </w:rPr>
              <w:t>PharmD, BCPS, BCGP</w:t>
            </w:r>
          </w:p>
        </w:tc>
        <w:tc>
          <w:tcPr>
            <w:tcW w:w="5550" w:type="dxa"/>
          </w:tcPr>
          <w:p w14:paraId="4AE18A64" w14:textId="77777777" w:rsidR="00A2288E" w:rsidRDefault="00A2288E" w:rsidP="00B51F1C">
            <w:pPr>
              <w:pStyle w:val="TableParagraph"/>
              <w:ind w:left="0" w:right="60"/>
              <w:jc w:val="center"/>
              <w:rPr>
                <w:sz w:val="24"/>
              </w:rPr>
            </w:pPr>
            <w:r>
              <w:rPr>
                <w:sz w:val="24"/>
              </w:rPr>
              <w:t>American</w:t>
            </w:r>
            <w:r>
              <w:rPr>
                <w:spacing w:val="-8"/>
                <w:sz w:val="24"/>
              </w:rPr>
              <w:t xml:space="preserve"> </w:t>
            </w:r>
            <w:r>
              <w:rPr>
                <w:sz w:val="24"/>
              </w:rPr>
              <w:t>Geriatrics</w:t>
            </w:r>
            <w:r>
              <w:rPr>
                <w:spacing w:val="-6"/>
                <w:sz w:val="24"/>
              </w:rPr>
              <w:t xml:space="preserve"> </w:t>
            </w:r>
            <w:r>
              <w:rPr>
                <w:sz w:val="24"/>
              </w:rPr>
              <w:t>Society</w:t>
            </w:r>
            <w:r>
              <w:rPr>
                <w:spacing w:val="-4"/>
                <w:sz w:val="24"/>
              </w:rPr>
              <w:t xml:space="preserve"> </w:t>
            </w:r>
            <w:r>
              <w:rPr>
                <w:spacing w:val="-2"/>
                <w:sz w:val="24"/>
              </w:rPr>
              <w:t>(Pharmacist)</w:t>
            </w:r>
          </w:p>
        </w:tc>
        <w:tc>
          <w:tcPr>
            <w:tcW w:w="1560" w:type="dxa"/>
          </w:tcPr>
          <w:p w14:paraId="4986F518" w14:textId="77777777" w:rsidR="00A2288E" w:rsidRDefault="00A2288E" w:rsidP="00B51F1C">
            <w:pPr>
              <w:pStyle w:val="TableParagraph"/>
              <w:ind w:left="0" w:right="58"/>
              <w:jc w:val="center"/>
              <w:rPr>
                <w:sz w:val="24"/>
              </w:rPr>
            </w:pPr>
            <w:r>
              <w:rPr>
                <w:sz w:val="24"/>
              </w:rPr>
              <w:t>Fort</w:t>
            </w:r>
            <w:r>
              <w:rPr>
                <w:spacing w:val="-4"/>
                <w:sz w:val="24"/>
              </w:rPr>
              <w:t xml:space="preserve"> </w:t>
            </w:r>
            <w:r>
              <w:rPr>
                <w:sz w:val="24"/>
              </w:rPr>
              <w:t>Wayne,</w:t>
            </w:r>
            <w:r>
              <w:rPr>
                <w:spacing w:val="-4"/>
                <w:sz w:val="24"/>
              </w:rPr>
              <w:t xml:space="preserve"> </w:t>
            </w:r>
            <w:r>
              <w:rPr>
                <w:spacing w:val="-5"/>
                <w:sz w:val="24"/>
              </w:rPr>
              <w:t>IN</w:t>
            </w:r>
          </w:p>
        </w:tc>
      </w:tr>
      <w:tr w:rsidR="00A2288E" w14:paraId="0D6891A7" w14:textId="77777777" w:rsidTr="00B51F1C">
        <w:trPr>
          <w:trHeight w:val="586"/>
        </w:trPr>
        <w:tc>
          <w:tcPr>
            <w:tcW w:w="2252" w:type="dxa"/>
          </w:tcPr>
          <w:p w14:paraId="0BD3301F" w14:textId="77777777" w:rsidR="00A2288E" w:rsidRDefault="00A2288E" w:rsidP="00B51F1C">
            <w:pPr>
              <w:pStyle w:val="TableParagraph"/>
              <w:spacing w:before="145"/>
              <w:rPr>
                <w:sz w:val="24"/>
              </w:rPr>
            </w:pPr>
            <w:r>
              <w:rPr>
                <w:sz w:val="24"/>
              </w:rPr>
              <w:t>Isbelia</w:t>
            </w:r>
            <w:r>
              <w:rPr>
                <w:spacing w:val="-8"/>
                <w:sz w:val="24"/>
              </w:rPr>
              <w:t xml:space="preserve"> </w:t>
            </w:r>
            <w:r>
              <w:rPr>
                <w:sz w:val="24"/>
              </w:rPr>
              <w:t>Briceno,</w:t>
            </w:r>
            <w:r>
              <w:rPr>
                <w:spacing w:val="-5"/>
                <w:sz w:val="24"/>
              </w:rPr>
              <w:t xml:space="preserve"> </w:t>
            </w:r>
            <w:r>
              <w:rPr>
                <w:spacing w:val="-4"/>
                <w:sz w:val="24"/>
              </w:rPr>
              <w:t>CSPO</w:t>
            </w:r>
          </w:p>
        </w:tc>
        <w:tc>
          <w:tcPr>
            <w:tcW w:w="5550" w:type="dxa"/>
          </w:tcPr>
          <w:p w14:paraId="3FE9D420" w14:textId="77777777" w:rsidR="00A2288E" w:rsidRDefault="00A2288E" w:rsidP="00B51F1C">
            <w:pPr>
              <w:pStyle w:val="TableParagraph"/>
              <w:spacing w:before="145"/>
              <w:ind w:left="0" w:right="59"/>
              <w:jc w:val="center"/>
              <w:rPr>
                <w:sz w:val="24"/>
              </w:rPr>
            </w:pPr>
            <w:r>
              <w:rPr>
                <w:sz w:val="24"/>
              </w:rPr>
              <w:t>Oracle</w:t>
            </w:r>
            <w:r>
              <w:rPr>
                <w:spacing w:val="-3"/>
                <w:sz w:val="24"/>
              </w:rPr>
              <w:t xml:space="preserve"> </w:t>
            </w:r>
            <w:r>
              <w:rPr>
                <w:sz w:val="24"/>
              </w:rPr>
              <w:t>Cerner</w:t>
            </w:r>
            <w:r>
              <w:rPr>
                <w:spacing w:val="-3"/>
                <w:sz w:val="24"/>
              </w:rPr>
              <w:t xml:space="preserve"> </w:t>
            </w:r>
            <w:r>
              <w:rPr>
                <w:sz w:val="24"/>
              </w:rPr>
              <w:t>(Senior</w:t>
            </w:r>
            <w:r>
              <w:rPr>
                <w:spacing w:val="-2"/>
                <w:sz w:val="24"/>
              </w:rPr>
              <w:t xml:space="preserve"> </w:t>
            </w:r>
            <w:r>
              <w:rPr>
                <w:sz w:val="24"/>
              </w:rPr>
              <w:t>Product</w:t>
            </w:r>
            <w:r>
              <w:rPr>
                <w:spacing w:val="-3"/>
                <w:sz w:val="24"/>
              </w:rPr>
              <w:t xml:space="preserve"> </w:t>
            </w:r>
            <w:r>
              <w:rPr>
                <w:sz w:val="24"/>
              </w:rPr>
              <w:t>Manager,</w:t>
            </w:r>
            <w:r>
              <w:rPr>
                <w:spacing w:val="-3"/>
                <w:sz w:val="24"/>
              </w:rPr>
              <w:t xml:space="preserve"> </w:t>
            </w:r>
            <w:r>
              <w:rPr>
                <w:sz w:val="24"/>
              </w:rPr>
              <w:t>EHR</w:t>
            </w:r>
            <w:r>
              <w:rPr>
                <w:spacing w:val="-2"/>
                <w:sz w:val="24"/>
              </w:rPr>
              <w:t xml:space="preserve"> Vendor)</w:t>
            </w:r>
          </w:p>
        </w:tc>
        <w:tc>
          <w:tcPr>
            <w:tcW w:w="1560" w:type="dxa"/>
          </w:tcPr>
          <w:p w14:paraId="087BB8AE" w14:textId="77777777" w:rsidR="00A2288E" w:rsidRDefault="00A2288E" w:rsidP="00B51F1C">
            <w:pPr>
              <w:pStyle w:val="TableParagraph"/>
              <w:spacing w:line="292" w:lineRule="exact"/>
              <w:ind w:left="0" w:right="1"/>
              <w:jc w:val="center"/>
              <w:rPr>
                <w:sz w:val="24"/>
              </w:rPr>
            </w:pPr>
            <w:r>
              <w:rPr>
                <w:sz w:val="24"/>
              </w:rPr>
              <w:t>Kansas</w:t>
            </w:r>
            <w:r>
              <w:rPr>
                <w:spacing w:val="-5"/>
                <w:sz w:val="24"/>
              </w:rPr>
              <w:t xml:space="preserve"> </w:t>
            </w:r>
            <w:r>
              <w:rPr>
                <w:spacing w:val="-2"/>
                <w:sz w:val="24"/>
              </w:rPr>
              <w:t>City,</w:t>
            </w:r>
            <w:r>
              <w:rPr>
                <w:sz w:val="24"/>
              </w:rPr>
              <w:t xml:space="preserve"> </w:t>
            </w:r>
            <w:r>
              <w:rPr>
                <w:spacing w:val="-5"/>
                <w:sz w:val="24"/>
              </w:rPr>
              <w:t>MO</w:t>
            </w:r>
          </w:p>
        </w:tc>
      </w:tr>
      <w:tr w:rsidR="00A2288E" w14:paraId="57472A20" w14:textId="77777777" w:rsidTr="00B51F1C">
        <w:trPr>
          <w:trHeight w:val="299"/>
        </w:trPr>
        <w:tc>
          <w:tcPr>
            <w:tcW w:w="2252" w:type="dxa"/>
          </w:tcPr>
          <w:p w14:paraId="7FA86E1C" w14:textId="77777777" w:rsidR="00A2288E" w:rsidRDefault="00A2288E" w:rsidP="00B51F1C">
            <w:pPr>
              <w:pStyle w:val="TableParagraph"/>
              <w:spacing w:before="2" w:line="277" w:lineRule="exact"/>
              <w:rPr>
                <w:sz w:val="24"/>
              </w:rPr>
            </w:pPr>
            <w:r>
              <w:rPr>
                <w:sz w:val="24"/>
              </w:rPr>
              <w:t>Lynn</w:t>
            </w:r>
            <w:r>
              <w:rPr>
                <w:spacing w:val="-5"/>
                <w:sz w:val="24"/>
              </w:rPr>
              <w:t xml:space="preserve"> </w:t>
            </w:r>
            <w:r>
              <w:rPr>
                <w:spacing w:val="-2"/>
                <w:sz w:val="24"/>
              </w:rPr>
              <w:t>Ferguson</w:t>
            </w:r>
          </w:p>
        </w:tc>
        <w:tc>
          <w:tcPr>
            <w:tcW w:w="5550" w:type="dxa"/>
          </w:tcPr>
          <w:p w14:paraId="7B951C15" w14:textId="77777777" w:rsidR="00A2288E" w:rsidRDefault="00A2288E" w:rsidP="00B51F1C">
            <w:pPr>
              <w:pStyle w:val="TableParagraph"/>
              <w:spacing w:before="2" w:line="277" w:lineRule="exact"/>
              <w:ind w:left="0" w:right="58"/>
              <w:jc w:val="center"/>
              <w:rPr>
                <w:sz w:val="24"/>
              </w:rPr>
            </w:pPr>
            <w:r>
              <w:rPr>
                <w:sz w:val="24"/>
              </w:rPr>
              <w:t>Patient/Caregiver</w:t>
            </w:r>
            <w:r>
              <w:rPr>
                <w:spacing w:val="-11"/>
                <w:sz w:val="24"/>
              </w:rPr>
              <w:t xml:space="preserve"> </w:t>
            </w:r>
            <w:r>
              <w:rPr>
                <w:spacing w:val="-2"/>
                <w:sz w:val="24"/>
              </w:rPr>
              <w:t>Representative</w:t>
            </w:r>
          </w:p>
        </w:tc>
        <w:tc>
          <w:tcPr>
            <w:tcW w:w="1560" w:type="dxa"/>
          </w:tcPr>
          <w:p w14:paraId="226351D5" w14:textId="77777777" w:rsidR="00A2288E" w:rsidRDefault="00A2288E" w:rsidP="00B51F1C">
            <w:pPr>
              <w:pStyle w:val="TableParagraph"/>
              <w:spacing w:before="2" w:line="277" w:lineRule="exact"/>
              <w:ind w:left="0" w:right="157"/>
              <w:jc w:val="center"/>
              <w:rPr>
                <w:sz w:val="24"/>
              </w:rPr>
            </w:pPr>
            <w:r>
              <w:rPr>
                <w:sz w:val="24"/>
              </w:rPr>
              <w:t>Nashville,</w:t>
            </w:r>
            <w:r>
              <w:rPr>
                <w:spacing w:val="-9"/>
                <w:sz w:val="24"/>
              </w:rPr>
              <w:t xml:space="preserve"> </w:t>
            </w:r>
            <w:r>
              <w:rPr>
                <w:spacing w:val="-5"/>
                <w:sz w:val="24"/>
              </w:rPr>
              <w:t>TN</w:t>
            </w:r>
          </w:p>
        </w:tc>
      </w:tr>
      <w:tr w:rsidR="00A2288E" w14:paraId="5DCDFA90" w14:textId="77777777" w:rsidTr="00B51F1C">
        <w:trPr>
          <w:trHeight w:val="878"/>
        </w:trPr>
        <w:tc>
          <w:tcPr>
            <w:tcW w:w="2252" w:type="dxa"/>
          </w:tcPr>
          <w:p w14:paraId="6027EDFB" w14:textId="77777777" w:rsidR="00A2288E" w:rsidRDefault="00A2288E" w:rsidP="00B51F1C">
            <w:pPr>
              <w:pStyle w:val="TableParagraph"/>
              <w:spacing w:line="290" w:lineRule="atLeast"/>
              <w:ind w:right="241"/>
              <w:rPr>
                <w:sz w:val="24"/>
              </w:rPr>
            </w:pPr>
            <w:r>
              <w:rPr>
                <w:sz w:val="24"/>
              </w:rPr>
              <w:t>Mustafa Mark Hamed,</w:t>
            </w:r>
            <w:r>
              <w:rPr>
                <w:spacing w:val="-14"/>
                <w:sz w:val="24"/>
              </w:rPr>
              <w:t xml:space="preserve"> </w:t>
            </w:r>
            <w:r>
              <w:rPr>
                <w:sz w:val="24"/>
              </w:rPr>
              <w:t>MD,</w:t>
            </w:r>
            <w:r>
              <w:rPr>
                <w:spacing w:val="-14"/>
                <w:sz w:val="24"/>
              </w:rPr>
              <w:t xml:space="preserve"> </w:t>
            </w:r>
            <w:r>
              <w:rPr>
                <w:sz w:val="24"/>
              </w:rPr>
              <w:t>MBA, FAAFP, FAEMS</w:t>
            </w:r>
          </w:p>
        </w:tc>
        <w:tc>
          <w:tcPr>
            <w:tcW w:w="5550" w:type="dxa"/>
          </w:tcPr>
          <w:p w14:paraId="76E1A6A6" w14:textId="77777777" w:rsidR="00A2288E" w:rsidRDefault="00A2288E" w:rsidP="00B51F1C">
            <w:pPr>
              <w:pStyle w:val="TableParagraph"/>
              <w:spacing w:line="290" w:lineRule="atLeast"/>
              <w:ind w:left="0" w:right="4"/>
              <w:jc w:val="center"/>
              <w:rPr>
                <w:sz w:val="24"/>
              </w:rPr>
            </w:pPr>
            <w:r>
              <w:rPr>
                <w:sz w:val="24"/>
              </w:rPr>
              <w:t>American</w:t>
            </w:r>
            <w:r>
              <w:rPr>
                <w:spacing w:val="-7"/>
                <w:sz w:val="24"/>
              </w:rPr>
              <w:t xml:space="preserve"> </w:t>
            </w:r>
            <w:r>
              <w:rPr>
                <w:sz w:val="24"/>
              </w:rPr>
              <w:t>Academy</w:t>
            </w:r>
            <w:r>
              <w:rPr>
                <w:spacing w:val="-8"/>
                <w:sz w:val="24"/>
              </w:rPr>
              <w:t xml:space="preserve"> </w:t>
            </w:r>
            <w:r>
              <w:rPr>
                <w:sz w:val="24"/>
              </w:rPr>
              <w:t>of</w:t>
            </w:r>
            <w:r>
              <w:rPr>
                <w:spacing w:val="-7"/>
                <w:sz w:val="24"/>
              </w:rPr>
              <w:t xml:space="preserve"> </w:t>
            </w:r>
            <w:r>
              <w:rPr>
                <w:sz w:val="24"/>
              </w:rPr>
              <w:t>Family</w:t>
            </w:r>
            <w:r>
              <w:rPr>
                <w:spacing w:val="-6"/>
                <w:sz w:val="24"/>
              </w:rPr>
              <w:t xml:space="preserve"> </w:t>
            </w:r>
            <w:r>
              <w:rPr>
                <w:sz w:val="24"/>
              </w:rPr>
              <w:t>Physicians</w:t>
            </w:r>
            <w:r>
              <w:rPr>
                <w:spacing w:val="-7"/>
                <w:sz w:val="24"/>
              </w:rPr>
              <w:t xml:space="preserve"> </w:t>
            </w:r>
            <w:r>
              <w:rPr>
                <w:sz w:val="24"/>
              </w:rPr>
              <w:t>(AAFP)</w:t>
            </w:r>
            <w:r>
              <w:rPr>
                <w:spacing w:val="-3"/>
                <w:sz w:val="24"/>
              </w:rPr>
              <w:t xml:space="preserve"> </w:t>
            </w:r>
            <w:r>
              <w:rPr>
                <w:sz w:val="24"/>
              </w:rPr>
              <w:t>(Board Certified Family Physician and Emergency Medical Services Physician)</w:t>
            </w:r>
          </w:p>
        </w:tc>
        <w:tc>
          <w:tcPr>
            <w:tcW w:w="1560" w:type="dxa"/>
          </w:tcPr>
          <w:p w14:paraId="49C320CB" w14:textId="77777777" w:rsidR="00A2288E" w:rsidRDefault="00A2288E" w:rsidP="00B51F1C">
            <w:pPr>
              <w:pStyle w:val="TableParagraph"/>
              <w:ind w:left="0"/>
              <w:jc w:val="center"/>
              <w:rPr>
                <w:sz w:val="24"/>
              </w:rPr>
            </w:pPr>
            <w:r>
              <w:rPr>
                <w:sz w:val="24"/>
              </w:rPr>
              <w:t>Novi,</w:t>
            </w:r>
            <w:r>
              <w:rPr>
                <w:spacing w:val="-4"/>
                <w:sz w:val="24"/>
              </w:rPr>
              <w:t xml:space="preserve"> </w:t>
            </w:r>
            <w:r>
              <w:rPr>
                <w:spacing w:val="-5"/>
                <w:sz w:val="24"/>
              </w:rPr>
              <w:t>MI</w:t>
            </w:r>
          </w:p>
        </w:tc>
      </w:tr>
      <w:tr w:rsidR="00A2288E" w14:paraId="5A77A77A" w14:textId="77777777" w:rsidTr="00B51F1C">
        <w:trPr>
          <w:trHeight w:val="586"/>
        </w:trPr>
        <w:tc>
          <w:tcPr>
            <w:tcW w:w="2252" w:type="dxa"/>
          </w:tcPr>
          <w:p w14:paraId="421258F4" w14:textId="77777777" w:rsidR="00A2288E" w:rsidRDefault="00A2288E" w:rsidP="00B51F1C">
            <w:pPr>
              <w:pStyle w:val="TableParagraph"/>
              <w:spacing w:line="290" w:lineRule="atLeast"/>
              <w:ind w:right="241"/>
              <w:rPr>
                <w:sz w:val="24"/>
              </w:rPr>
            </w:pPr>
            <w:r>
              <w:rPr>
                <w:sz w:val="24"/>
              </w:rPr>
              <w:t>Jennifer</w:t>
            </w:r>
            <w:r>
              <w:rPr>
                <w:spacing w:val="-14"/>
                <w:sz w:val="24"/>
              </w:rPr>
              <w:t xml:space="preserve"> </w:t>
            </w:r>
            <w:r>
              <w:rPr>
                <w:sz w:val="24"/>
              </w:rPr>
              <w:t>Hoffmann, MD, MS</w:t>
            </w:r>
          </w:p>
        </w:tc>
        <w:tc>
          <w:tcPr>
            <w:tcW w:w="5550" w:type="dxa"/>
          </w:tcPr>
          <w:p w14:paraId="54EB5F08" w14:textId="77777777" w:rsidR="00A2288E" w:rsidRDefault="00A2288E" w:rsidP="00B51F1C">
            <w:pPr>
              <w:pStyle w:val="TableParagraph"/>
              <w:spacing w:line="290" w:lineRule="atLeast"/>
              <w:jc w:val="center"/>
              <w:rPr>
                <w:sz w:val="24"/>
              </w:rPr>
            </w:pPr>
            <w:r>
              <w:rPr>
                <w:sz w:val="24"/>
              </w:rPr>
              <w:t>Northwestern</w:t>
            </w:r>
            <w:r>
              <w:rPr>
                <w:spacing w:val="-7"/>
                <w:sz w:val="24"/>
              </w:rPr>
              <w:t xml:space="preserve"> </w:t>
            </w:r>
            <w:r>
              <w:rPr>
                <w:sz w:val="24"/>
              </w:rPr>
              <w:t>University</w:t>
            </w:r>
            <w:r>
              <w:rPr>
                <w:spacing w:val="-6"/>
                <w:sz w:val="24"/>
              </w:rPr>
              <w:t xml:space="preserve"> </w:t>
            </w:r>
            <w:r>
              <w:rPr>
                <w:sz w:val="24"/>
              </w:rPr>
              <w:t>and</w:t>
            </w:r>
            <w:r>
              <w:rPr>
                <w:spacing w:val="-7"/>
                <w:sz w:val="24"/>
              </w:rPr>
              <w:t xml:space="preserve"> </w:t>
            </w:r>
            <w:r>
              <w:rPr>
                <w:sz w:val="24"/>
              </w:rPr>
              <w:t>Lurie</w:t>
            </w:r>
            <w:r>
              <w:rPr>
                <w:spacing w:val="-7"/>
                <w:sz w:val="24"/>
              </w:rPr>
              <w:t xml:space="preserve"> </w:t>
            </w:r>
            <w:r>
              <w:rPr>
                <w:sz w:val="24"/>
              </w:rPr>
              <w:t>Children's</w:t>
            </w:r>
            <w:r>
              <w:rPr>
                <w:spacing w:val="-7"/>
                <w:sz w:val="24"/>
              </w:rPr>
              <w:t xml:space="preserve"> </w:t>
            </w:r>
            <w:r>
              <w:rPr>
                <w:sz w:val="24"/>
              </w:rPr>
              <w:t>Hospital</w:t>
            </w:r>
            <w:r>
              <w:rPr>
                <w:spacing w:val="-7"/>
                <w:sz w:val="24"/>
              </w:rPr>
              <w:t xml:space="preserve"> </w:t>
            </w:r>
            <w:r>
              <w:rPr>
                <w:sz w:val="24"/>
              </w:rPr>
              <w:t>of Chicago (Assistant Professor of Pediatrics)</w:t>
            </w:r>
          </w:p>
        </w:tc>
        <w:tc>
          <w:tcPr>
            <w:tcW w:w="1560" w:type="dxa"/>
          </w:tcPr>
          <w:p w14:paraId="64A9A04D" w14:textId="77777777" w:rsidR="00A2288E" w:rsidRDefault="00A2288E" w:rsidP="00B51F1C">
            <w:pPr>
              <w:pStyle w:val="TableParagraph"/>
              <w:spacing w:before="146"/>
              <w:ind w:left="0"/>
              <w:jc w:val="center"/>
              <w:rPr>
                <w:sz w:val="24"/>
              </w:rPr>
            </w:pPr>
            <w:r>
              <w:rPr>
                <w:sz w:val="24"/>
              </w:rPr>
              <w:t>Chicago,</w:t>
            </w:r>
            <w:r>
              <w:rPr>
                <w:spacing w:val="-4"/>
                <w:sz w:val="24"/>
              </w:rPr>
              <w:t xml:space="preserve"> </w:t>
            </w:r>
            <w:r>
              <w:rPr>
                <w:spacing w:val="-5"/>
                <w:sz w:val="24"/>
              </w:rPr>
              <w:t>IL</w:t>
            </w:r>
          </w:p>
        </w:tc>
      </w:tr>
      <w:tr w:rsidR="00A2288E" w14:paraId="47000F27" w14:textId="77777777" w:rsidTr="00B51F1C">
        <w:trPr>
          <w:trHeight w:val="586"/>
        </w:trPr>
        <w:tc>
          <w:tcPr>
            <w:tcW w:w="2252" w:type="dxa"/>
          </w:tcPr>
          <w:p w14:paraId="3B60D6AD" w14:textId="77777777" w:rsidR="00A2288E" w:rsidRDefault="00A2288E" w:rsidP="00B51F1C">
            <w:pPr>
              <w:pStyle w:val="TableParagraph"/>
              <w:spacing w:line="292" w:lineRule="exact"/>
              <w:rPr>
                <w:sz w:val="24"/>
              </w:rPr>
            </w:pPr>
            <w:r>
              <w:rPr>
                <w:sz w:val="24"/>
              </w:rPr>
              <w:t>Charleen</w:t>
            </w:r>
            <w:r>
              <w:rPr>
                <w:spacing w:val="-5"/>
                <w:sz w:val="24"/>
              </w:rPr>
              <w:t xml:space="preserve"> </w:t>
            </w:r>
            <w:r>
              <w:rPr>
                <w:sz w:val="24"/>
              </w:rPr>
              <w:t>Hsuan,</w:t>
            </w:r>
            <w:r>
              <w:rPr>
                <w:spacing w:val="-5"/>
                <w:sz w:val="24"/>
              </w:rPr>
              <w:t xml:space="preserve"> JD,</w:t>
            </w:r>
            <w:r>
              <w:rPr>
                <w:sz w:val="24"/>
              </w:rPr>
              <w:t xml:space="preserve"> </w:t>
            </w:r>
            <w:r>
              <w:rPr>
                <w:spacing w:val="-5"/>
                <w:sz w:val="24"/>
              </w:rPr>
              <w:t>PhD</w:t>
            </w:r>
          </w:p>
        </w:tc>
        <w:tc>
          <w:tcPr>
            <w:tcW w:w="5550" w:type="dxa"/>
          </w:tcPr>
          <w:p w14:paraId="0D187F25" w14:textId="77777777" w:rsidR="00A2288E" w:rsidRDefault="00A2288E" w:rsidP="00B51F1C">
            <w:pPr>
              <w:pStyle w:val="TableParagraph"/>
              <w:spacing w:before="145"/>
              <w:ind w:left="0" w:right="63"/>
              <w:jc w:val="center"/>
              <w:rPr>
                <w:sz w:val="24"/>
              </w:rPr>
            </w:pPr>
            <w:r>
              <w:rPr>
                <w:sz w:val="24"/>
              </w:rPr>
              <w:t>Pennsylvania</w:t>
            </w:r>
            <w:r>
              <w:rPr>
                <w:spacing w:val="-7"/>
                <w:sz w:val="24"/>
              </w:rPr>
              <w:t xml:space="preserve"> </w:t>
            </w:r>
            <w:r>
              <w:rPr>
                <w:sz w:val="24"/>
              </w:rPr>
              <w:t>State</w:t>
            </w:r>
            <w:r>
              <w:rPr>
                <w:spacing w:val="-6"/>
                <w:sz w:val="24"/>
              </w:rPr>
              <w:t xml:space="preserve"> </w:t>
            </w:r>
            <w:r>
              <w:rPr>
                <w:sz w:val="24"/>
              </w:rPr>
              <w:t>University</w:t>
            </w:r>
            <w:r>
              <w:rPr>
                <w:spacing w:val="-6"/>
                <w:sz w:val="24"/>
              </w:rPr>
              <w:t xml:space="preserve"> </w:t>
            </w:r>
            <w:r>
              <w:rPr>
                <w:sz w:val="24"/>
              </w:rPr>
              <w:t>(Assistant</w:t>
            </w:r>
            <w:r>
              <w:rPr>
                <w:spacing w:val="-6"/>
                <w:sz w:val="24"/>
              </w:rPr>
              <w:t xml:space="preserve"> </w:t>
            </w:r>
            <w:r>
              <w:rPr>
                <w:spacing w:val="-2"/>
                <w:sz w:val="24"/>
              </w:rPr>
              <w:t>Professor)</w:t>
            </w:r>
          </w:p>
        </w:tc>
        <w:tc>
          <w:tcPr>
            <w:tcW w:w="1560" w:type="dxa"/>
          </w:tcPr>
          <w:p w14:paraId="7FD26F2D" w14:textId="77777777" w:rsidR="00A2288E" w:rsidRDefault="00A2288E" w:rsidP="00B51F1C">
            <w:pPr>
              <w:pStyle w:val="TableParagraph"/>
              <w:spacing w:line="292" w:lineRule="exact"/>
              <w:ind w:left="0"/>
              <w:jc w:val="center"/>
              <w:rPr>
                <w:sz w:val="24"/>
              </w:rPr>
            </w:pPr>
            <w:r>
              <w:rPr>
                <w:sz w:val="24"/>
              </w:rPr>
              <w:t>University</w:t>
            </w:r>
            <w:r>
              <w:rPr>
                <w:spacing w:val="-7"/>
                <w:sz w:val="24"/>
              </w:rPr>
              <w:t xml:space="preserve"> </w:t>
            </w:r>
            <w:r>
              <w:rPr>
                <w:spacing w:val="-2"/>
                <w:sz w:val="24"/>
              </w:rPr>
              <w:t>Park,</w:t>
            </w:r>
            <w:r>
              <w:rPr>
                <w:sz w:val="24"/>
              </w:rPr>
              <w:t xml:space="preserve"> </w:t>
            </w:r>
            <w:r>
              <w:rPr>
                <w:spacing w:val="-5"/>
                <w:sz w:val="24"/>
              </w:rPr>
              <w:t>PA</w:t>
            </w:r>
          </w:p>
        </w:tc>
      </w:tr>
      <w:tr w:rsidR="00A2288E" w14:paraId="7DC3C234" w14:textId="77777777" w:rsidTr="00B51F1C">
        <w:trPr>
          <w:trHeight w:val="585"/>
        </w:trPr>
        <w:tc>
          <w:tcPr>
            <w:tcW w:w="2252" w:type="dxa"/>
          </w:tcPr>
          <w:p w14:paraId="6852241B" w14:textId="77777777" w:rsidR="00A2288E" w:rsidRDefault="00A2288E" w:rsidP="00B51F1C">
            <w:pPr>
              <w:pStyle w:val="TableParagraph"/>
              <w:spacing w:line="292" w:lineRule="exact"/>
              <w:rPr>
                <w:sz w:val="24"/>
              </w:rPr>
            </w:pPr>
            <w:r>
              <w:rPr>
                <w:sz w:val="24"/>
              </w:rPr>
              <w:t>David</w:t>
            </w:r>
            <w:r>
              <w:rPr>
                <w:spacing w:val="-5"/>
                <w:sz w:val="24"/>
              </w:rPr>
              <w:t xml:space="preserve"> </w:t>
            </w:r>
            <w:r>
              <w:rPr>
                <w:sz w:val="24"/>
              </w:rPr>
              <w:t>Levine,</w:t>
            </w:r>
            <w:r>
              <w:rPr>
                <w:spacing w:val="-5"/>
                <w:sz w:val="24"/>
              </w:rPr>
              <w:t xml:space="preserve"> MD, </w:t>
            </w:r>
            <w:r>
              <w:rPr>
                <w:spacing w:val="-2"/>
                <w:sz w:val="24"/>
              </w:rPr>
              <w:t>FACEP</w:t>
            </w:r>
          </w:p>
        </w:tc>
        <w:tc>
          <w:tcPr>
            <w:tcW w:w="5550" w:type="dxa"/>
          </w:tcPr>
          <w:p w14:paraId="324010F4" w14:textId="77777777" w:rsidR="00A2288E" w:rsidRDefault="00A2288E" w:rsidP="00B51F1C">
            <w:pPr>
              <w:pStyle w:val="TableParagraph"/>
              <w:spacing w:line="292" w:lineRule="exact"/>
              <w:ind w:left="0" w:right="5"/>
              <w:jc w:val="center"/>
              <w:rPr>
                <w:sz w:val="24"/>
              </w:rPr>
            </w:pPr>
            <w:r>
              <w:rPr>
                <w:sz w:val="24"/>
              </w:rPr>
              <w:t>Vizient,</w:t>
            </w:r>
            <w:r>
              <w:rPr>
                <w:spacing w:val="-4"/>
                <w:sz w:val="24"/>
              </w:rPr>
              <w:t xml:space="preserve"> </w:t>
            </w:r>
            <w:r>
              <w:rPr>
                <w:sz w:val="24"/>
              </w:rPr>
              <w:t>Inc.</w:t>
            </w:r>
            <w:r>
              <w:rPr>
                <w:spacing w:val="-3"/>
                <w:sz w:val="24"/>
              </w:rPr>
              <w:t xml:space="preserve"> </w:t>
            </w:r>
            <w:r>
              <w:rPr>
                <w:sz w:val="24"/>
              </w:rPr>
              <w:t>(Group</w:t>
            </w:r>
            <w:r>
              <w:rPr>
                <w:spacing w:val="-4"/>
                <w:sz w:val="24"/>
              </w:rPr>
              <w:t xml:space="preserve"> </w:t>
            </w:r>
            <w:r>
              <w:rPr>
                <w:sz w:val="24"/>
              </w:rPr>
              <w:t>Senior</w:t>
            </w:r>
            <w:r>
              <w:rPr>
                <w:spacing w:val="-3"/>
                <w:sz w:val="24"/>
              </w:rPr>
              <w:t xml:space="preserve"> </w:t>
            </w:r>
            <w:r>
              <w:rPr>
                <w:sz w:val="24"/>
              </w:rPr>
              <w:t>Vice</w:t>
            </w:r>
            <w:r>
              <w:rPr>
                <w:spacing w:val="-3"/>
                <w:sz w:val="24"/>
              </w:rPr>
              <w:t xml:space="preserve"> </w:t>
            </w:r>
            <w:r>
              <w:rPr>
                <w:sz w:val="24"/>
              </w:rPr>
              <w:t>President,</w:t>
            </w:r>
            <w:r>
              <w:rPr>
                <w:spacing w:val="-3"/>
                <w:sz w:val="24"/>
              </w:rPr>
              <w:t xml:space="preserve"> </w:t>
            </w:r>
            <w:r>
              <w:rPr>
                <w:spacing w:val="-2"/>
                <w:sz w:val="24"/>
              </w:rPr>
              <w:t>Advanced</w:t>
            </w:r>
            <w:r>
              <w:rPr>
                <w:sz w:val="24"/>
              </w:rPr>
              <w:t>, Analytics</w:t>
            </w:r>
            <w:r>
              <w:rPr>
                <w:spacing w:val="-4"/>
                <w:sz w:val="24"/>
              </w:rPr>
              <w:t xml:space="preserve"> </w:t>
            </w:r>
            <w:r>
              <w:rPr>
                <w:sz w:val="24"/>
              </w:rPr>
              <w:t>and</w:t>
            </w:r>
            <w:r>
              <w:rPr>
                <w:spacing w:val="-4"/>
                <w:sz w:val="24"/>
              </w:rPr>
              <w:t xml:space="preserve"> </w:t>
            </w:r>
            <w:r>
              <w:rPr>
                <w:sz w:val="24"/>
              </w:rPr>
              <w:t>Data</w:t>
            </w:r>
            <w:r>
              <w:rPr>
                <w:spacing w:val="-4"/>
                <w:sz w:val="24"/>
              </w:rPr>
              <w:t xml:space="preserve"> </w:t>
            </w:r>
            <w:r>
              <w:rPr>
                <w:spacing w:val="-2"/>
                <w:sz w:val="24"/>
              </w:rPr>
              <w:t>Science)</w:t>
            </w:r>
          </w:p>
        </w:tc>
        <w:tc>
          <w:tcPr>
            <w:tcW w:w="1560" w:type="dxa"/>
          </w:tcPr>
          <w:p w14:paraId="5ED71EC1" w14:textId="77777777" w:rsidR="00A2288E" w:rsidRDefault="00A2288E" w:rsidP="00B51F1C">
            <w:pPr>
              <w:pStyle w:val="TableParagraph"/>
              <w:spacing w:before="145"/>
              <w:ind w:left="0"/>
              <w:jc w:val="center"/>
              <w:rPr>
                <w:sz w:val="24"/>
              </w:rPr>
            </w:pPr>
            <w:r>
              <w:rPr>
                <w:sz w:val="24"/>
              </w:rPr>
              <w:t>Chicago,</w:t>
            </w:r>
            <w:r>
              <w:rPr>
                <w:spacing w:val="-4"/>
                <w:sz w:val="24"/>
              </w:rPr>
              <w:t xml:space="preserve"> </w:t>
            </w:r>
            <w:r>
              <w:rPr>
                <w:spacing w:val="-5"/>
                <w:sz w:val="24"/>
              </w:rPr>
              <w:t>IL</w:t>
            </w:r>
          </w:p>
        </w:tc>
      </w:tr>
      <w:tr w:rsidR="00A2288E" w14:paraId="7EA32361" w14:textId="77777777" w:rsidTr="00B51F1C">
        <w:trPr>
          <w:trHeight w:val="586"/>
        </w:trPr>
        <w:tc>
          <w:tcPr>
            <w:tcW w:w="2252" w:type="dxa"/>
          </w:tcPr>
          <w:p w14:paraId="59FE3AE7" w14:textId="77777777" w:rsidR="00A2288E" w:rsidRDefault="00A2288E" w:rsidP="00B51F1C">
            <w:pPr>
              <w:pStyle w:val="TableParagraph"/>
              <w:spacing w:line="290" w:lineRule="atLeast"/>
              <w:rPr>
                <w:sz w:val="24"/>
              </w:rPr>
            </w:pPr>
            <w:r>
              <w:rPr>
                <w:sz w:val="24"/>
              </w:rPr>
              <w:t>Kelly</w:t>
            </w:r>
            <w:r>
              <w:rPr>
                <w:spacing w:val="-14"/>
                <w:sz w:val="24"/>
              </w:rPr>
              <w:t xml:space="preserve"> </w:t>
            </w:r>
            <w:r>
              <w:rPr>
                <w:sz w:val="24"/>
              </w:rPr>
              <w:t>McGuire,</w:t>
            </w:r>
            <w:r>
              <w:rPr>
                <w:spacing w:val="-14"/>
                <w:sz w:val="24"/>
              </w:rPr>
              <w:t xml:space="preserve"> </w:t>
            </w:r>
            <w:r>
              <w:rPr>
                <w:sz w:val="24"/>
              </w:rPr>
              <w:t xml:space="preserve">MD, </w:t>
            </w:r>
            <w:r>
              <w:rPr>
                <w:spacing w:val="-4"/>
                <w:sz w:val="24"/>
              </w:rPr>
              <w:t>MPA</w:t>
            </w:r>
          </w:p>
        </w:tc>
        <w:tc>
          <w:tcPr>
            <w:tcW w:w="5550" w:type="dxa"/>
          </w:tcPr>
          <w:p w14:paraId="09268D0F" w14:textId="77777777" w:rsidR="00A2288E" w:rsidRDefault="00A2288E" w:rsidP="00B51F1C">
            <w:pPr>
              <w:pStyle w:val="TableParagraph"/>
              <w:spacing w:before="146"/>
              <w:ind w:left="0" w:right="60"/>
              <w:jc w:val="center"/>
              <w:rPr>
                <w:sz w:val="24"/>
              </w:rPr>
            </w:pPr>
            <w:proofErr w:type="spellStart"/>
            <w:r>
              <w:rPr>
                <w:sz w:val="24"/>
              </w:rPr>
              <w:t>EmblemHealth</w:t>
            </w:r>
            <w:proofErr w:type="spellEnd"/>
            <w:r>
              <w:rPr>
                <w:spacing w:val="-6"/>
                <w:sz w:val="24"/>
              </w:rPr>
              <w:t xml:space="preserve"> </w:t>
            </w:r>
            <w:r>
              <w:rPr>
                <w:sz w:val="24"/>
              </w:rPr>
              <w:t>(Medical</w:t>
            </w:r>
            <w:r>
              <w:rPr>
                <w:spacing w:val="-7"/>
                <w:sz w:val="24"/>
              </w:rPr>
              <w:t xml:space="preserve"> </w:t>
            </w:r>
            <w:r>
              <w:rPr>
                <w:sz w:val="24"/>
              </w:rPr>
              <w:t>Director,</w:t>
            </w:r>
            <w:r>
              <w:rPr>
                <w:spacing w:val="-1"/>
                <w:sz w:val="24"/>
              </w:rPr>
              <w:t xml:space="preserve"> </w:t>
            </w:r>
            <w:r>
              <w:rPr>
                <w:sz w:val="24"/>
              </w:rPr>
              <w:t>Behavioral</w:t>
            </w:r>
            <w:r>
              <w:rPr>
                <w:spacing w:val="-5"/>
                <w:sz w:val="24"/>
              </w:rPr>
              <w:t xml:space="preserve"> </w:t>
            </w:r>
            <w:r>
              <w:rPr>
                <w:spacing w:val="-2"/>
                <w:sz w:val="24"/>
              </w:rPr>
              <w:t>Health)</w:t>
            </w:r>
          </w:p>
        </w:tc>
        <w:tc>
          <w:tcPr>
            <w:tcW w:w="1560" w:type="dxa"/>
          </w:tcPr>
          <w:p w14:paraId="26FE2376" w14:textId="77777777" w:rsidR="00A2288E" w:rsidRDefault="00A2288E" w:rsidP="00B51F1C">
            <w:pPr>
              <w:pStyle w:val="TableParagraph"/>
              <w:spacing w:before="146"/>
              <w:ind w:left="0"/>
              <w:jc w:val="center"/>
              <w:rPr>
                <w:sz w:val="24"/>
              </w:rPr>
            </w:pPr>
            <w:r>
              <w:rPr>
                <w:sz w:val="24"/>
              </w:rPr>
              <w:t>Katonah,</w:t>
            </w:r>
            <w:r>
              <w:rPr>
                <w:spacing w:val="-7"/>
                <w:sz w:val="24"/>
              </w:rPr>
              <w:t xml:space="preserve"> </w:t>
            </w:r>
            <w:r>
              <w:rPr>
                <w:spacing w:val="-5"/>
                <w:sz w:val="24"/>
              </w:rPr>
              <w:t>NY</w:t>
            </w:r>
          </w:p>
        </w:tc>
      </w:tr>
      <w:tr w:rsidR="00A2288E" w14:paraId="31DF22FD" w14:textId="77777777" w:rsidTr="00B51F1C">
        <w:trPr>
          <w:trHeight w:val="586"/>
        </w:trPr>
        <w:tc>
          <w:tcPr>
            <w:tcW w:w="2252" w:type="dxa"/>
          </w:tcPr>
          <w:p w14:paraId="5391454F" w14:textId="77777777" w:rsidR="00A2288E" w:rsidRDefault="00A2288E" w:rsidP="00B51F1C">
            <w:pPr>
              <w:pStyle w:val="TableParagraph"/>
              <w:spacing w:before="146"/>
              <w:rPr>
                <w:sz w:val="24"/>
              </w:rPr>
            </w:pPr>
            <w:r>
              <w:rPr>
                <w:sz w:val="24"/>
              </w:rPr>
              <w:t>Sofie</w:t>
            </w:r>
            <w:r>
              <w:rPr>
                <w:spacing w:val="-3"/>
                <w:sz w:val="24"/>
              </w:rPr>
              <w:t xml:space="preserve"> </w:t>
            </w:r>
            <w:r>
              <w:rPr>
                <w:spacing w:val="-2"/>
                <w:sz w:val="24"/>
              </w:rPr>
              <w:t>Morgan</w:t>
            </w:r>
          </w:p>
        </w:tc>
        <w:tc>
          <w:tcPr>
            <w:tcW w:w="5550" w:type="dxa"/>
          </w:tcPr>
          <w:p w14:paraId="071CD852" w14:textId="77777777" w:rsidR="00A2288E" w:rsidRDefault="00A2288E" w:rsidP="00B51F1C">
            <w:pPr>
              <w:pStyle w:val="TableParagraph"/>
              <w:spacing w:line="290" w:lineRule="atLeast"/>
              <w:ind w:left="0"/>
              <w:jc w:val="center"/>
              <w:rPr>
                <w:sz w:val="24"/>
              </w:rPr>
            </w:pPr>
            <w:r>
              <w:rPr>
                <w:sz w:val="24"/>
              </w:rPr>
              <w:t>University</w:t>
            </w:r>
            <w:r>
              <w:rPr>
                <w:spacing w:val="-7"/>
                <w:sz w:val="24"/>
              </w:rPr>
              <w:t xml:space="preserve"> </w:t>
            </w:r>
            <w:r>
              <w:rPr>
                <w:sz w:val="24"/>
              </w:rPr>
              <w:t>of</w:t>
            </w:r>
            <w:r>
              <w:rPr>
                <w:spacing w:val="-8"/>
                <w:sz w:val="24"/>
              </w:rPr>
              <w:t xml:space="preserve"> </w:t>
            </w:r>
            <w:r>
              <w:rPr>
                <w:sz w:val="24"/>
              </w:rPr>
              <w:t>Arkansas</w:t>
            </w:r>
            <w:r>
              <w:rPr>
                <w:spacing w:val="-8"/>
                <w:sz w:val="24"/>
              </w:rPr>
              <w:t xml:space="preserve"> </w:t>
            </w:r>
            <w:r>
              <w:rPr>
                <w:sz w:val="24"/>
              </w:rPr>
              <w:t>for</w:t>
            </w:r>
            <w:r>
              <w:rPr>
                <w:spacing w:val="-8"/>
                <w:sz w:val="24"/>
              </w:rPr>
              <w:t xml:space="preserve"> </w:t>
            </w:r>
            <w:r>
              <w:rPr>
                <w:sz w:val="24"/>
              </w:rPr>
              <w:t>Medical</w:t>
            </w:r>
            <w:r>
              <w:rPr>
                <w:spacing w:val="-8"/>
                <w:sz w:val="24"/>
              </w:rPr>
              <w:t xml:space="preserve"> </w:t>
            </w:r>
            <w:r>
              <w:rPr>
                <w:sz w:val="24"/>
              </w:rPr>
              <w:t>Sciences</w:t>
            </w:r>
            <w:r>
              <w:rPr>
                <w:spacing w:val="-8"/>
                <w:sz w:val="24"/>
              </w:rPr>
              <w:t xml:space="preserve"> </w:t>
            </w:r>
            <w:r>
              <w:rPr>
                <w:sz w:val="24"/>
              </w:rPr>
              <w:t>(Patient Experience Professional, Emergency Physician)</w:t>
            </w:r>
          </w:p>
        </w:tc>
        <w:tc>
          <w:tcPr>
            <w:tcW w:w="1560" w:type="dxa"/>
          </w:tcPr>
          <w:p w14:paraId="78A3757D" w14:textId="77777777" w:rsidR="00A2288E" w:rsidRDefault="00A2288E" w:rsidP="00B51F1C">
            <w:pPr>
              <w:pStyle w:val="TableParagraph"/>
              <w:spacing w:before="146"/>
              <w:ind w:left="0" w:right="94"/>
              <w:jc w:val="center"/>
              <w:rPr>
                <w:sz w:val="24"/>
              </w:rPr>
            </w:pPr>
            <w:r>
              <w:rPr>
                <w:sz w:val="24"/>
              </w:rPr>
              <w:t>Little</w:t>
            </w:r>
            <w:r>
              <w:rPr>
                <w:spacing w:val="-4"/>
                <w:sz w:val="24"/>
              </w:rPr>
              <w:t xml:space="preserve"> </w:t>
            </w:r>
            <w:r>
              <w:rPr>
                <w:sz w:val="24"/>
              </w:rPr>
              <w:t>Rock,</w:t>
            </w:r>
            <w:r>
              <w:rPr>
                <w:spacing w:val="-5"/>
                <w:sz w:val="24"/>
              </w:rPr>
              <w:t xml:space="preserve"> AR</w:t>
            </w:r>
          </w:p>
        </w:tc>
      </w:tr>
      <w:tr w:rsidR="00A2288E" w14:paraId="6B848DE1" w14:textId="77777777" w:rsidTr="00B51F1C">
        <w:trPr>
          <w:trHeight w:val="586"/>
        </w:trPr>
        <w:tc>
          <w:tcPr>
            <w:tcW w:w="2252" w:type="dxa"/>
          </w:tcPr>
          <w:p w14:paraId="584E1103" w14:textId="77777777" w:rsidR="00A2288E" w:rsidRDefault="00A2288E" w:rsidP="00B51F1C">
            <w:pPr>
              <w:pStyle w:val="TableParagraph"/>
              <w:spacing w:line="292" w:lineRule="exact"/>
              <w:rPr>
                <w:sz w:val="24"/>
              </w:rPr>
            </w:pPr>
            <w:r>
              <w:rPr>
                <w:sz w:val="24"/>
              </w:rPr>
              <w:t>Deepti</w:t>
            </w:r>
            <w:r>
              <w:rPr>
                <w:spacing w:val="-6"/>
                <w:sz w:val="24"/>
              </w:rPr>
              <w:t xml:space="preserve"> </w:t>
            </w:r>
            <w:r>
              <w:rPr>
                <w:sz w:val="24"/>
              </w:rPr>
              <w:t>Pandita,</w:t>
            </w:r>
            <w:r>
              <w:rPr>
                <w:spacing w:val="-5"/>
                <w:sz w:val="24"/>
              </w:rPr>
              <w:t xml:space="preserve"> MD,</w:t>
            </w:r>
            <w:r>
              <w:rPr>
                <w:sz w:val="24"/>
              </w:rPr>
              <w:t xml:space="preserve"> FACP,</w:t>
            </w:r>
            <w:r>
              <w:rPr>
                <w:spacing w:val="-5"/>
                <w:sz w:val="24"/>
              </w:rPr>
              <w:t xml:space="preserve"> </w:t>
            </w:r>
            <w:r>
              <w:rPr>
                <w:spacing w:val="-2"/>
                <w:sz w:val="24"/>
              </w:rPr>
              <w:t>FAMIA</w:t>
            </w:r>
          </w:p>
        </w:tc>
        <w:tc>
          <w:tcPr>
            <w:tcW w:w="5550" w:type="dxa"/>
          </w:tcPr>
          <w:p w14:paraId="45EF7668" w14:textId="77777777" w:rsidR="00A2288E" w:rsidRDefault="00A2288E" w:rsidP="00B51F1C">
            <w:pPr>
              <w:pStyle w:val="TableParagraph"/>
              <w:spacing w:line="292" w:lineRule="exact"/>
              <w:ind w:left="0" w:right="6"/>
              <w:jc w:val="center"/>
              <w:rPr>
                <w:sz w:val="24"/>
              </w:rPr>
            </w:pPr>
            <w:r>
              <w:rPr>
                <w:sz w:val="24"/>
              </w:rPr>
              <w:t>University</w:t>
            </w:r>
            <w:r>
              <w:rPr>
                <w:spacing w:val="-5"/>
                <w:sz w:val="24"/>
              </w:rPr>
              <w:t xml:space="preserve"> </w:t>
            </w:r>
            <w:r>
              <w:rPr>
                <w:sz w:val="24"/>
              </w:rPr>
              <w:t>of</w:t>
            </w:r>
            <w:r>
              <w:rPr>
                <w:spacing w:val="-5"/>
                <w:sz w:val="24"/>
              </w:rPr>
              <w:t xml:space="preserve"> </w:t>
            </w:r>
            <w:r>
              <w:rPr>
                <w:sz w:val="24"/>
              </w:rPr>
              <w:t>California,</w:t>
            </w:r>
            <w:r>
              <w:rPr>
                <w:spacing w:val="-5"/>
                <w:sz w:val="24"/>
              </w:rPr>
              <w:t xml:space="preserve"> </w:t>
            </w:r>
            <w:r>
              <w:rPr>
                <w:sz w:val="24"/>
              </w:rPr>
              <w:t>Irvine</w:t>
            </w:r>
            <w:r>
              <w:rPr>
                <w:spacing w:val="-5"/>
                <w:sz w:val="24"/>
              </w:rPr>
              <w:t xml:space="preserve"> </w:t>
            </w:r>
            <w:r>
              <w:rPr>
                <w:sz w:val="24"/>
              </w:rPr>
              <w:t>(Associate Professor</w:t>
            </w:r>
            <w:r>
              <w:rPr>
                <w:spacing w:val="-5"/>
                <w:sz w:val="24"/>
              </w:rPr>
              <w:t xml:space="preserve"> of</w:t>
            </w:r>
            <w:r>
              <w:rPr>
                <w:sz w:val="24"/>
              </w:rPr>
              <w:t xml:space="preserve"> Medicine,</w:t>
            </w:r>
            <w:r>
              <w:rPr>
                <w:spacing w:val="-5"/>
                <w:sz w:val="24"/>
              </w:rPr>
              <w:t xml:space="preserve"> </w:t>
            </w:r>
            <w:r>
              <w:rPr>
                <w:sz w:val="24"/>
              </w:rPr>
              <w:t>Chief</w:t>
            </w:r>
            <w:r>
              <w:rPr>
                <w:spacing w:val="-5"/>
                <w:sz w:val="24"/>
              </w:rPr>
              <w:t xml:space="preserve"> </w:t>
            </w:r>
            <w:r>
              <w:rPr>
                <w:sz w:val="24"/>
              </w:rPr>
              <w:t>Medical</w:t>
            </w:r>
            <w:r>
              <w:rPr>
                <w:spacing w:val="-5"/>
                <w:sz w:val="24"/>
              </w:rPr>
              <w:t xml:space="preserve"> </w:t>
            </w:r>
            <w:r>
              <w:rPr>
                <w:sz w:val="24"/>
              </w:rPr>
              <w:t>Information</w:t>
            </w:r>
            <w:r>
              <w:rPr>
                <w:spacing w:val="-5"/>
                <w:sz w:val="24"/>
              </w:rPr>
              <w:t xml:space="preserve"> </w:t>
            </w:r>
            <w:r>
              <w:rPr>
                <w:spacing w:val="-2"/>
                <w:sz w:val="24"/>
              </w:rPr>
              <w:t>Officer)</w:t>
            </w:r>
          </w:p>
        </w:tc>
        <w:tc>
          <w:tcPr>
            <w:tcW w:w="1560" w:type="dxa"/>
          </w:tcPr>
          <w:p w14:paraId="0E9E5737" w14:textId="77777777" w:rsidR="00A2288E" w:rsidRDefault="00A2288E" w:rsidP="00B51F1C">
            <w:pPr>
              <w:pStyle w:val="TableParagraph"/>
              <w:spacing w:line="292" w:lineRule="exact"/>
              <w:ind w:left="0"/>
              <w:jc w:val="center"/>
              <w:rPr>
                <w:sz w:val="24"/>
              </w:rPr>
            </w:pPr>
            <w:r>
              <w:rPr>
                <w:sz w:val="24"/>
              </w:rPr>
              <w:t>Laguna</w:t>
            </w:r>
            <w:r>
              <w:rPr>
                <w:spacing w:val="-6"/>
                <w:sz w:val="24"/>
              </w:rPr>
              <w:t xml:space="preserve"> </w:t>
            </w:r>
            <w:r>
              <w:rPr>
                <w:spacing w:val="-2"/>
                <w:sz w:val="24"/>
              </w:rPr>
              <w:t>Niguel,</w:t>
            </w:r>
            <w:r>
              <w:rPr>
                <w:sz w:val="24"/>
              </w:rPr>
              <w:t xml:space="preserve"> </w:t>
            </w:r>
            <w:r>
              <w:rPr>
                <w:spacing w:val="-5"/>
                <w:sz w:val="24"/>
              </w:rPr>
              <w:t>CA</w:t>
            </w:r>
          </w:p>
        </w:tc>
      </w:tr>
      <w:tr w:rsidR="00A2288E" w14:paraId="6964731E" w14:textId="77777777" w:rsidTr="00B51F1C">
        <w:trPr>
          <w:trHeight w:val="878"/>
        </w:trPr>
        <w:tc>
          <w:tcPr>
            <w:tcW w:w="2252" w:type="dxa"/>
          </w:tcPr>
          <w:p w14:paraId="5743D3B8" w14:textId="77777777" w:rsidR="00A2288E" w:rsidRDefault="00A2288E" w:rsidP="00B51F1C">
            <w:pPr>
              <w:pStyle w:val="TableParagraph"/>
              <w:ind w:right="519"/>
              <w:rPr>
                <w:sz w:val="24"/>
              </w:rPr>
            </w:pPr>
            <w:r>
              <w:rPr>
                <w:spacing w:val="-2"/>
                <w:sz w:val="24"/>
              </w:rPr>
              <w:lastRenderedPageBreak/>
              <w:t xml:space="preserve">Anne-Marie </w:t>
            </w:r>
            <w:r>
              <w:rPr>
                <w:sz w:val="24"/>
              </w:rPr>
              <w:t>Podgorski</w:t>
            </w:r>
            <w:r>
              <w:rPr>
                <w:spacing w:val="-14"/>
                <w:sz w:val="24"/>
              </w:rPr>
              <w:t xml:space="preserve"> </w:t>
            </w:r>
            <w:r>
              <w:rPr>
                <w:sz w:val="24"/>
              </w:rPr>
              <w:t>Dunn, MBA,</w:t>
            </w:r>
            <w:r>
              <w:rPr>
                <w:spacing w:val="-5"/>
                <w:sz w:val="24"/>
              </w:rPr>
              <w:t xml:space="preserve"> </w:t>
            </w:r>
            <w:r>
              <w:rPr>
                <w:sz w:val="24"/>
              </w:rPr>
              <w:t>BSN,</w:t>
            </w:r>
            <w:r>
              <w:rPr>
                <w:spacing w:val="-3"/>
                <w:sz w:val="24"/>
              </w:rPr>
              <w:t xml:space="preserve"> </w:t>
            </w:r>
            <w:r>
              <w:rPr>
                <w:spacing w:val="-5"/>
                <w:sz w:val="24"/>
              </w:rPr>
              <w:t>RN</w:t>
            </w:r>
          </w:p>
        </w:tc>
        <w:tc>
          <w:tcPr>
            <w:tcW w:w="5550" w:type="dxa"/>
          </w:tcPr>
          <w:p w14:paraId="601E11BC" w14:textId="77777777" w:rsidR="00A2288E" w:rsidRDefault="00A2288E" w:rsidP="00B51F1C">
            <w:pPr>
              <w:pStyle w:val="TableParagraph"/>
              <w:spacing w:before="145"/>
              <w:ind w:left="0"/>
              <w:jc w:val="center"/>
              <w:rPr>
                <w:sz w:val="24"/>
              </w:rPr>
            </w:pPr>
            <w:r>
              <w:rPr>
                <w:sz w:val="24"/>
              </w:rPr>
              <w:t>Independent</w:t>
            </w:r>
            <w:r>
              <w:rPr>
                <w:spacing w:val="-9"/>
                <w:sz w:val="24"/>
              </w:rPr>
              <w:t xml:space="preserve"> </w:t>
            </w:r>
            <w:r>
              <w:rPr>
                <w:sz w:val="24"/>
              </w:rPr>
              <w:t>(EHR Expert</w:t>
            </w:r>
            <w:r>
              <w:rPr>
                <w:spacing w:val="-2"/>
                <w:sz w:val="24"/>
              </w:rPr>
              <w:t>)</w:t>
            </w:r>
          </w:p>
        </w:tc>
        <w:tc>
          <w:tcPr>
            <w:tcW w:w="1560" w:type="dxa"/>
          </w:tcPr>
          <w:p w14:paraId="7C9B359B" w14:textId="77777777" w:rsidR="00A2288E" w:rsidRDefault="00A2288E" w:rsidP="00B51F1C">
            <w:pPr>
              <w:pStyle w:val="TableParagraph"/>
              <w:spacing w:before="145"/>
              <w:ind w:left="0" w:right="73"/>
              <w:jc w:val="center"/>
              <w:rPr>
                <w:sz w:val="24"/>
              </w:rPr>
            </w:pPr>
            <w:r>
              <w:rPr>
                <w:sz w:val="24"/>
              </w:rPr>
              <w:t>West</w:t>
            </w:r>
            <w:r>
              <w:rPr>
                <w:spacing w:val="-14"/>
                <w:sz w:val="24"/>
              </w:rPr>
              <w:t xml:space="preserve"> </w:t>
            </w:r>
            <w:r>
              <w:rPr>
                <w:sz w:val="24"/>
              </w:rPr>
              <w:t xml:space="preserve">Chester, </w:t>
            </w:r>
            <w:r>
              <w:rPr>
                <w:spacing w:val="-6"/>
                <w:sz w:val="24"/>
              </w:rPr>
              <w:t>PA</w:t>
            </w:r>
          </w:p>
        </w:tc>
      </w:tr>
      <w:tr w:rsidR="00A2288E" w14:paraId="2FDCF086" w14:textId="77777777" w:rsidTr="00B51F1C">
        <w:trPr>
          <w:trHeight w:val="585"/>
        </w:trPr>
        <w:tc>
          <w:tcPr>
            <w:tcW w:w="2252" w:type="dxa"/>
          </w:tcPr>
          <w:p w14:paraId="4DA130D2" w14:textId="77777777" w:rsidR="00A2288E" w:rsidRDefault="00A2288E" w:rsidP="00B51F1C">
            <w:pPr>
              <w:pStyle w:val="TableParagraph"/>
              <w:spacing w:line="292" w:lineRule="exact"/>
              <w:rPr>
                <w:sz w:val="24"/>
              </w:rPr>
            </w:pPr>
            <w:r>
              <w:rPr>
                <w:sz w:val="24"/>
              </w:rPr>
              <w:t>Rupinder</w:t>
            </w:r>
            <w:r>
              <w:rPr>
                <w:spacing w:val="-4"/>
                <w:sz w:val="24"/>
              </w:rPr>
              <w:t xml:space="preserve"> </w:t>
            </w:r>
            <w:r>
              <w:rPr>
                <w:sz w:val="24"/>
              </w:rPr>
              <w:t>K</w:t>
            </w:r>
            <w:r>
              <w:rPr>
                <w:spacing w:val="-4"/>
                <w:sz w:val="24"/>
              </w:rPr>
              <w:t xml:space="preserve"> </w:t>
            </w:r>
            <w:r>
              <w:rPr>
                <w:spacing w:val="-2"/>
                <w:sz w:val="24"/>
              </w:rPr>
              <w:t>Sandhu,</w:t>
            </w:r>
            <w:r>
              <w:rPr>
                <w:sz w:val="24"/>
              </w:rPr>
              <w:t xml:space="preserve"> BSN,</w:t>
            </w:r>
            <w:r>
              <w:rPr>
                <w:spacing w:val="-5"/>
                <w:sz w:val="24"/>
              </w:rPr>
              <w:t xml:space="preserve"> </w:t>
            </w:r>
            <w:r>
              <w:rPr>
                <w:sz w:val="24"/>
              </w:rPr>
              <w:t>MBA,</w:t>
            </w:r>
            <w:r>
              <w:rPr>
                <w:spacing w:val="-3"/>
                <w:sz w:val="24"/>
              </w:rPr>
              <w:t xml:space="preserve"> </w:t>
            </w:r>
            <w:r>
              <w:rPr>
                <w:spacing w:val="-2"/>
                <w:sz w:val="24"/>
              </w:rPr>
              <w:t>MSHSA</w:t>
            </w:r>
          </w:p>
        </w:tc>
        <w:tc>
          <w:tcPr>
            <w:tcW w:w="5550" w:type="dxa"/>
          </w:tcPr>
          <w:p w14:paraId="3BDAC9D9" w14:textId="77777777" w:rsidR="00A2288E" w:rsidRDefault="00A2288E" w:rsidP="00B51F1C">
            <w:pPr>
              <w:pStyle w:val="TableParagraph"/>
              <w:spacing w:line="292" w:lineRule="exact"/>
              <w:ind w:left="0" w:right="10"/>
              <w:jc w:val="center"/>
              <w:rPr>
                <w:sz w:val="24"/>
              </w:rPr>
            </w:pPr>
            <w:r>
              <w:rPr>
                <w:sz w:val="24"/>
              </w:rPr>
              <w:t>UC</w:t>
            </w:r>
            <w:r>
              <w:rPr>
                <w:spacing w:val="-4"/>
                <w:sz w:val="24"/>
              </w:rPr>
              <w:t xml:space="preserve"> </w:t>
            </w:r>
            <w:r>
              <w:rPr>
                <w:sz w:val="24"/>
              </w:rPr>
              <w:t>Davis</w:t>
            </w:r>
            <w:r>
              <w:rPr>
                <w:spacing w:val="-4"/>
                <w:sz w:val="24"/>
              </w:rPr>
              <w:t xml:space="preserve"> </w:t>
            </w:r>
            <w:r>
              <w:rPr>
                <w:sz w:val="24"/>
              </w:rPr>
              <w:t>Medical</w:t>
            </w:r>
            <w:r>
              <w:rPr>
                <w:spacing w:val="-4"/>
                <w:sz w:val="24"/>
              </w:rPr>
              <w:t xml:space="preserve"> </w:t>
            </w:r>
            <w:r>
              <w:rPr>
                <w:sz w:val="24"/>
              </w:rPr>
              <w:t>Center</w:t>
            </w:r>
            <w:r>
              <w:rPr>
                <w:spacing w:val="-3"/>
                <w:sz w:val="24"/>
              </w:rPr>
              <w:t xml:space="preserve"> </w:t>
            </w:r>
            <w:r>
              <w:rPr>
                <w:sz w:val="24"/>
              </w:rPr>
              <w:t>(Executive</w:t>
            </w:r>
            <w:r>
              <w:rPr>
                <w:spacing w:val="-5"/>
                <w:sz w:val="24"/>
              </w:rPr>
              <w:t xml:space="preserve"> </w:t>
            </w:r>
            <w:r>
              <w:rPr>
                <w:sz w:val="24"/>
              </w:rPr>
              <w:t>Director,</w:t>
            </w:r>
            <w:r>
              <w:rPr>
                <w:spacing w:val="-3"/>
                <w:sz w:val="24"/>
              </w:rPr>
              <w:t xml:space="preserve"> </w:t>
            </w:r>
            <w:r>
              <w:rPr>
                <w:spacing w:val="-2"/>
                <w:sz w:val="24"/>
              </w:rPr>
              <w:t>Emergency</w:t>
            </w:r>
            <w:r>
              <w:rPr>
                <w:sz w:val="24"/>
              </w:rPr>
              <w:t xml:space="preserve"> </w:t>
            </w:r>
            <w:r>
              <w:rPr>
                <w:spacing w:val="-2"/>
                <w:sz w:val="24"/>
              </w:rPr>
              <w:t>Services)</w:t>
            </w:r>
          </w:p>
        </w:tc>
        <w:tc>
          <w:tcPr>
            <w:tcW w:w="1560" w:type="dxa"/>
          </w:tcPr>
          <w:p w14:paraId="537E5057" w14:textId="77777777" w:rsidR="00A2288E" w:rsidRDefault="00A2288E" w:rsidP="00B51F1C">
            <w:pPr>
              <w:pStyle w:val="TableParagraph"/>
              <w:spacing w:line="292" w:lineRule="exact"/>
              <w:ind w:left="0" w:right="1"/>
              <w:jc w:val="center"/>
              <w:rPr>
                <w:sz w:val="24"/>
              </w:rPr>
            </w:pPr>
            <w:r>
              <w:rPr>
                <w:spacing w:val="-2"/>
                <w:sz w:val="24"/>
              </w:rPr>
              <w:t>Sacramento,</w:t>
            </w:r>
            <w:r>
              <w:rPr>
                <w:sz w:val="24"/>
              </w:rPr>
              <w:t xml:space="preserve"> </w:t>
            </w:r>
            <w:r>
              <w:rPr>
                <w:spacing w:val="-5"/>
                <w:sz w:val="24"/>
              </w:rPr>
              <w:t>CA</w:t>
            </w:r>
          </w:p>
        </w:tc>
      </w:tr>
      <w:tr w:rsidR="00A2288E" w14:paraId="6E691D60" w14:textId="77777777" w:rsidTr="00B51F1C">
        <w:trPr>
          <w:trHeight w:val="586"/>
        </w:trPr>
        <w:tc>
          <w:tcPr>
            <w:tcW w:w="2252" w:type="dxa"/>
          </w:tcPr>
          <w:p w14:paraId="4A041321" w14:textId="77777777" w:rsidR="00A2288E" w:rsidRDefault="00A2288E" w:rsidP="00B51F1C">
            <w:pPr>
              <w:pStyle w:val="TableParagraph"/>
              <w:spacing w:line="290" w:lineRule="atLeast"/>
              <w:rPr>
                <w:sz w:val="24"/>
              </w:rPr>
            </w:pPr>
            <w:r>
              <w:rPr>
                <w:sz w:val="24"/>
              </w:rPr>
              <w:t>Nathaniel Schlicher, MD,</w:t>
            </w:r>
            <w:r>
              <w:rPr>
                <w:spacing w:val="-5"/>
                <w:sz w:val="24"/>
              </w:rPr>
              <w:t xml:space="preserve"> </w:t>
            </w:r>
            <w:r>
              <w:rPr>
                <w:sz w:val="24"/>
              </w:rPr>
              <w:t>JD,</w:t>
            </w:r>
            <w:r>
              <w:rPr>
                <w:spacing w:val="-2"/>
                <w:sz w:val="24"/>
              </w:rPr>
              <w:t xml:space="preserve"> </w:t>
            </w:r>
            <w:r>
              <w:rPr>
                <w:sz w:val="24"/>
              </w:rPr>
              <w:t>MBA,</w:t>
            </w:r>
            <w:r>
              <w:rPr>
                <w:spacing w:val="-2"/>
                <w:sz w:val="24"/>
              </w:rPr>
              <w:t xml:space="preserve"> </w:t>
            </w:r>
            <w:r>
              <w:rPr>
                <w:spacing w:val="-4"/>
                <w:sz w:val="24"/>
              </w:rPr>
              <w:t>FACEP</w:t>
            </w:r>
          </w:p>
        </w:tc>
        <w:tc>
          <w:tcPr>
            <w:tcW w:w="5550" w:type="dxa"/>
          </w:tcPr>
          <w:p w14:paraId="195EB9A6" w14:textId="77777777" w:rsidR="00A2288E" w:rsidRDefault="00A2288E" w:rsidP="00B51F1C">
            <w:pPr>
              <w:pStyle w:val="TableParagraph"/>
              <w:spacing w:before="146"/>
              <w:ind w:left="0" w:right="59"/>
              <w:jc w:val="center"/>
              <w:rPr>
                <w:sz w:val="24"/>
              </w:rPr>
            </w:pPr>
            <w:r>
              <w:rPr>
                <w:sz w:val="24"/>
              </w:rPr>
              <w:t>Physician</w:t>
            </w:r>
            <w:r>
              <w:rPr>
                <w:spacing w:val="-7"/>
                <w:sz w:val="24"/>
              </w:rPr>
              <w:t xml:space="preserve"> </w:t>
            </w:r>
            <w:r>
              <w:rPr>
                <w:sz w:val="24"/>
              </w:rPr>
              <w:t>and</w:t>
            </w:r>
            <w:r>
              <w:rPr>
                <w:spacing w:val="-7"/>
                <w:sz w:val="24"/>
              </w:rPr>
              <w:t xml:space="preserve"> </w:t>
            </w:r>
            <w:r>
              <w:rPr>
                <w:sz w:val="24"/>
              </w:rPr>
              <w:t>Administrative</w:t>
            </w:r>
            <w:r>
              <w:rPr>
                <w:spacing w:val="-5"/>
                <w:sz w:val="24"/>
              </w:rPr>
              <w:t xml:space="preserve"> </w:t>
            </w:r>
            <w:r>
              <w:rPr>
                <w:spacing w:val="-2"/>
                <w:sz w:val="24"/>
              </w:rPr>
              <w:t>Leader</w:t>
            </w:r>
          </w:p>
        </w:tc>
        <w:tc>
          <w:tcPr>
            <w:tcW w:w="1560" w:type="dxa"/>
          </w:tcPr>
          <w:p w14:paraId="6204D4EB" w14:textId="77777777" w:rsidR="00A2288E" w:rsidRDefault="00A2288E" w:rsidP="00B51F1C">
            <w:pPr>
              <w:pStyle w:val="TableParagraph"/>
              <w:spacing w:line="290" w:lineRule="atLeast"/>
              <w:ind w:left="0" w:right="201"/>
              <w:jc w:val="center"/>
              <w:rPr>
                <w:sz w:val="24"/>
              </w:rPr>
            </w:pPr>
            <w:r>
              <w:rPr>
                <w:sz w:val="24"/>
              </w:rPr>
              <w:t>Gig</w:t>
            </w:r>
            <w:r>
              <w:rPr>
                <w:spacing w:val="-14"/>
                <w:sz w:val="24"/>
              </w:rPr>
              <w:t xml:space="preserve"> </w:t>
            </w:r>
            <w:r>
              <w:rPr>
                <w:sz w:val="24"/>
              </w:rPr>
              <w:t xml:space="preserve">Harbor, </w:t>
            </w:r>
            <w:r>
              <w:rPr>
                <w:spacing w:val="-6"/>
                <w:sz w:val="24"/>
              </w:rPr>
              <w:t>WA</w:t>
            </w:r>
          </w:p>
        </w:tc>
      </w:tr>
      <w:tr w:rsidR="00A2288E" w14:paraId="1E29770C" w14:textId="77777777" w:rsidTr="00B51F1C">
        <w:trPr>
          <w:trHeight w:val="586"/>
        </w:trPr>
        <w:tc>
          <w:tcPr>
            <w:tcW w:w="2252" w:type="dxa"/>
          </w:tcPr>
          <w:p w14:paraId="5198DC31" w14:textId="77777777" w:rsidR="00A2288E" w:rsidRDefault="00A2288E" w:rsidP="00B51F1C">
            <w:pPr>
              <w:pStyle w:val="TableParagraph"/>
              <w:spacing w:line="290" w:lineRule="atLeast"/>
              <w:rPr>
                <w:sz w:val="24"/>
              </w:rPr>
            </w:pPr>
            <w:r>
              <w:rPr>
                <w:sz w:val="24"/>
              </w:rPr>
              <w:t>Jodi</w:t>
            </w:r>
            <w:r>
              <w:rPr>
                <w:spacing w:val="-4"/>
                <w:sz w:val="24"/>
              </w:rPr>
              <w:t xml:space="preserve"> </w:t>
            </w:r>
            <w:r>
              <w:rPr>
                <w:sz w:val="24"/>
              </w:rPr>
              <w:t>A.</w:t>
            </w:r>
            <w:r>
              <w:rPr>
                <w:spacing w:val="-3"/>
                <w:sz w:val="24"/>
              </w:rPr>
              <w:t xml:space="preserve"> </w:t>
            </w:r>
            <w:r>
              <w:rPr>
                <w:sz w:val="24"/>
              </w:rPr>
              <w:t>Schmidt,</w:t>
            </w:r>
            <w:r>
              <w:rPr>
                <w:spacing w:val="-3"/>
                <w:sz w:val="24"/>
              </w:rPr>
              <w:t xml:space="preserve"> </w:t>
            </w:r>
            <w:r>
              <w:rPr>
                <w:spacing w:val="-5"/>
                <w:sz w:val="24"/>
              </w:rPr>
              <w:t>MBA</w:t>
            </w:r>
          </w:p>
        </w:tc>
        <w:tc>
          <w:tcPr>
            <w:tcW w:w="5550" w:type="dxa"/>
          </w:tcPr>
          <w:p w14:paraId="7044286D" w14:textId="77777777" w:rsidR="00A2288E" w:rsidRDefault="00A2288E" w:rsidP="00B51F1C">
            <w:pPr>
              <w:pStyle w:val="TableParagraph"/>
              <w:spacing w:before="146"/>
              <w:ind w:left="0" w:right="59"/>
              <w:jc w:val="center"/>
              <w:rPr>
                <w:sz w:val="24"/>
              </w:rPr>
            </w:pPr>
            <w:r>
              <w:rPr>
                <w:sz w:val="24"/>
              </w:rPr>
              <w:t>University</w:t>
            </w:r>
            <w:r>
              <w:rPr>
                <w:spacing w:val="-4"/>
                <w:sz w:val="24"/>
              </w:rPr>
              <w:t xml:space="preserve"> </w:t>
            </w:r>
            <w:r>
              <w:rPr>
                <w:sz w:val="24"/>
              </w:rPr>
              <w:t>of</w:t>
            </w:r>
            <w:r>
              <w:rPr>
                <w:spacing w:val="-5"/>
                <w:sz w:val="24"/>
              </w:rPr>
              <w:t xml:space="preserve"> </w:t>
            </w:r>
            <w:r>
              <w:rPr>
                <w:sz w:val="24"/>
              </w:rPr>
              <w:t>Kansas</w:t>
            </w:r>
            <w:r>
              <w:rPr>
                <w:spacing w:val="-4"/>
                <w:sz w:val="24"/>
              </w:rPr>
              <w:t xml:space="preserve"> </w:t>
            </w:r>
            <w:r>
              <w:rPr>
                <w:sz w:val="24"/>
              </w:rPr>
              <w:t>Health</w:t>
            </w:r>
            <w:r>
              <w:rPr>
                <w:spacing w:val="-5"/>
                <w:sz w:val="24"/>
              </w:rPr>
              <w:t xml:space="preserve"> </w:t>
            </w:r>
            <w:r>
              <w:rPr>
                <w:sz w:val="24"/>
              </w:rPr>
              <w:t>System</w:t>
            </w:r>
            <w:r>
              <w:rPr>
                <w:spacing w:val="-5"/>
                <w:sz w:val="24"/>
              </w:rPr>
              <w:t xml:space="preserve"> </w:t>
            </w:r>
            <w:r>
              <w:rPr>
                <w:sz w:val="24"/>
              </w:rPr>
              <w:t>(Executive</w:t>
            </w:r>
            <w:r>
              <w:rPr>
                <w:spacing w:val="-3"/>
                <w:sz w:val="24"/>
              </w:rPr>
              <w:t xml:space="preserve"> </w:t>
            </w:r>
            <w:r>
              <w:rPr>
                <w:spacing w:val="-2"/>
                <w:sz w:val="24"/>
              </w:rPr>
              <w:t>Director,</w:t>
            </w:r>
            <w:r>
              <w:rPr>
                <w:sz w:val="24"/>
              </w:rPr>
              <w:t xml:space="preserve"> UKHS</w:t>
            </w:r>
            <w:r>
              <w:rPr>
                <w:spacing w:val="-5"/>
                <w:sz w:val="24"/>
              </w:rPr>
              <w:t xml:space="preserve"> </w:t>
            </w:r>
            <w:r>
              <w:rPr>
                <w:sz w:val="24"/>
              </w:rPr>
              <w:t>Care</w:t>
            </w:r>
            <w:r>
              <w:rPr>
                <w:spacing w:val="-5"/>
                <w:sz w:val="24"/>
              </w:rPr>
              <w:t xml:space="preserve"> </w:t>
            </w:r>
            <w:r>
              <w:rPr>
                <w:sz w:val="24"/>
              </w:rPr>
              <w:t>Collaborative</w:t>
            </w:r>
            <w:r>
              <w:rPr>
                <w:spacing w:val="-5"/>
                <w:sz w:val="24"/>
              </w:rPr>
              <w:t xml:space="preserve"> </w:t>
            </w:r>
            <w:r>
              <w:rPr>
                <w:sz w:val="24"/>
              </w:rPr>
              <w:t>Patient</w:t>
            </w:r>
            <w:r>
              <w:rPr>
                <w:spacing w:val="-5"/>
                <w:sz w:val="24"/>
              </w:rPr>
              <w:t xml:space="preserve"> </w:t>
            </w:r>
            <w:r>
              <w:rPr>
                <w:sz w:val="24"/>
              </w:rPr>
              <w:t>Safety</w:t>
            </w:r>
            <w:r>
              <w:rPr>
                <w:spacing w:val="-4"/>
                <w:sz w:val="24"/>
              </w:rPr>
              <w:t xml:space="preserve"> </w:t>
            </w:r>
            <w:r>
              <w:rPr>
                <w:spacing w:val="-2"/>
                <w:sz w:val="24"/>
              </w:rPr>
              <w:t>Organization)</w:t>
            </w:r>
          </w:p>
        </w:tc>
        <w:tc>
          <w:tcPr>
            <w:tcW w:w="1560" w:type="dxa"/>
          </w:tcPr>
          <w:p w14:paraId="01CFDBA2" w14:textId="77777777" w:rsidR="00A2288E" w:rsidRDefault="00A2288E" w:rsidP="00B51F1C">
            <w:pPr>
              <w:pStyle w:val="TableParagraph"/>
              <w:spacing w:line="290" w:lineRule="atLeast"/>
              <w:ind w:left="0" w:right="201"/>
              <w:jc w:val="center"/>
              <w:rPr>
                <w:sz w:val="24"/>
              </w:rPr>
            </w:pPr>
            <w:r>
              <w:rPr>
                <w:sz w:val="24"/>
              </w:rPr>
              <w:t>Westwood,</w:t>
            </w:r>
            <w:r>
              <w:rPr>
                <w:spacing w:val="-7"/>
                <w:sz w:val="24"/>
              </w:rPr>
              <w:t xml:space="preserve"> </w:t>
            </w:r>
            <w:r>
              <w:rPr>
                <w:spacing w:val="-5"/>
                <w:sz w:val="24"/>
              </w:rPr>
              <w:t>KS</w:t>
            </w:r>
          </w:p>
        </w:tc>
      </w:tr>
      <w:tr w:rsidR="00A2288E" w14:paraId="1821EEAD" w14:textId="77777777" w:rsidTr="00B51F1C">
        <w:trPr>
          <w:trHeight w:val="320"/>
        </w:trPr>
        <w:tc>
          <w:tcPr>
            <w:tcW w:w="2252" w:type="dxa"/>
          </w:tcPr>
          <w:p w14:paraId="37C8CCBF" w14:textId="77777777" w:rsidR="00A2288E" w:rsidRDefault="00A2288E" w:rsidP="00B51F1C">
            <w:pPr>
              <w:pStyle w:val="TableParagraph"/>
              <w:spacing w:line="290" w:lineRule="atLeast"/>
              <w:rPr>
                <w:sz w:val="24"/>
              </w:rPr>
            </w:pPr>
            <w:r>
              <w:rPr>
                <w:sz w:val="24"/>
              </w:rPr>
              <w:t>Jeremiah</w:t>
            </w:r>
            <w:r>
              <w:rPr>
                <w:spacing w:val="-14"/>
                <w:sz w:val="24"/>
              </w:rPr>
              <w:t xml:space="preserve"> </w:t>
            </w:r>
            <w:r>
              <w:rPr>
                <w:sz w:val="24"/>
              </w:rPr>
              <w:t>Schuur, MD, MHS</w:t>
            </w:r>
          </w:p>
        </w:tc>
        <w:tc>
          <w:tcPr>
            <w:tcW w:w="5550" w:type="dxa"/>
          </w:tcPr>
          <w:p w14:paraId="2D638D82" w14:textId="77777777" w:rsidR="00A2288E" w:rsidRDefault="00A2288E" w:rsidP="00B51F1C">
            <w:pPr>
              <w:pStyle w:val="TableParagraph"/>
              <w:spacing w:before="146"/>
              <w:ind w:left="0" w:right="59"/>
              <w:jc w:val="center"/>
              <w:rPr>
                <w:sz w:val="24"/>
              </w:rPr>
            </w:pPr>
            <w:r w:rsidRPr="00FF0FF1">
              <w:rPr>
                <w:sz w:val="24"/>
              </w:rPr>
              <w:t xml:space="preserve">St. Elizabeths Medical </w:t>
            </w:r>
            <w:r>
              <w:rPr>
                <w:sz w:val="24"/>
              </w:rPr>
              <w:t>C</w:t>
            </w:r>
            <w:r w:rsidRPr="00FF0FF1">
              <w:rPr>
                <w:sz w:val="24"/>
              </w:rPr>
              <w:t>enter</w:t>
            </w:r>
            <w:r>
              <w:rPr>
                <w:sz w:val="24"/>
              </w:rPr>
              <w:t xml:space="preserve">, </w:t>
            </w:r>
            <w:r w:rsidRPr="00FF0FF1">
              <w:rPr>
                <w:sz w:val="24"/>
              </w:rPr>
              <w:t>Chief of Emergency Medicine</w:t>
            </w:r>
          </w:p>
        </w:tc>
        <w:tc>
          <w:tcPr>
            <w:tcW w:w="1560" w:type="dxa"/>
          </w:tcPr>
          <w:p w14:paraId="5F389110" w14:textId="77777777" w:rsidR="00A2288E" w:rsidRDefault="00A2288E" w:rsidP="00B51F1C">
            <w:pPr>
              <w:pStyle w:val="TableParagraph"/>
              <w:spacing w:line="290" w:lineRule="atLeast"/>
              <w:ind w:left="0" w:right="201"/>
              <w:jc w:val="center"/>
              <w:rPr>
                <w:sz w:val="24"/>
              </w:rPr>
            </w:pPr>
            <w:r w:rsidRPr="00FF0FF1">
              <w:rPr>
                <w:spacing w:val="-2"/>
                <w:sz w:val="24"/>
              </w:rPr>
              <w:t>Brighton</w:t>
            </w:r>
            <w:r>
              <w:rPr>
                <w:spacing w:val="-2"/>
                <w:sz w:val="24"/>
              </w:rPr>
              <w:t xml:space="preserve">, </w:t>
            </w:r>
            <w:r>
              <w:rPr>
                <w:spacing w:val="-6"/>
                <w:sz w:val="24"/>
              </w:rPr>
              <w:t>MA</w:t>
            </w:r>
          </w:p>
        </w:tc>
      </w:tr>
      <w:tr w:rsidR="00A2288E" w14:paraId="3D946B00" w14:textId="77777777" w:rsidTr="00B51F1C">
        <w:trPr>
          <w:trHeight w:val="586"/>
        </w:trPr>
        <w:tc>
          <w:tcPr>
            <w:tcW w:w="2252" w:type="dxa"/>
          </w:tcPr>
          <w:p w14:paraId="68CE30D9" w14:textId="77777777" w:rsidR="00A2288E" w:rsidRDefault="00A2288E" w:rsidP="00B51F1C">
            <w:pPr>
              <w:pStyle w:val="TableParagraph"/>
              <w:spacing w:line="290" w:lineRule="atLeast"/>
              <w:rPr>
                <w:sz w:val="24"/>
              </w:rPr>
            </w:pPr>
            <w:r>
              <w:rPr>
                <w:sz w:val="24"/>
              </w:rPr>
              <w:t>David</w:t>
            </w:r>
            <w:r>
              <w:rPr>
                <w:spacing w:val="-3"/>
                <w:sz w:val="24"/>
              </w:rPr>
              <w:t xml:space="preserve"> </w:t>
            </w:r>
            <w:r>
              <w:rPr>
                <w:sz w:val="24"/>
              </w:rPr>
              <w:t>P</w:t>
            </w:r>
            <w:r>
              <w:rPr>
                <w:spacing w:val="-3"/>
                <w:sz w:val="24"/>
              </w:rPr>
              <w:t xml:space="preserve"> </w:t>
            </w:r>
            <w:r>
              <w:rPr>
                <w:spacing w:val="-2"/>
                <w:sz w:val="24"/>
              </w:rPr>
              <w:t>Sklar</w:t>
            </w:r>
          </w:p>
        </w:tc>
        <w:tc>
          <w:tcPr>
            <w:tcW w:w="5550" w:type="dxa"/>
          </w:tcPr>
          <w:p w14:paraId="4934D20B" w14:textId="77777777" w:rsidR="00A2288E" w:rsidRDefault="00A2288E" w:rsidP="00B51F1C">
            <w:pPr>
              <w:pStyle w:val="TableParagraph"/>
              <w:spacing w:before="146"/>
              <w:ind w:left="0" w:right="59"/>
              <w:jc w:val="center"/>
              <w:rPr>
                <w:sz w:val="24"/>
              </w:rPr>
            </w:pPr>
            <w:r>
              <w:rPr>
                <w:sz w:val="24"/>
              </w:rPr>
              <w:t>Arizona</w:t>
            </w:r>
            <w:r>
              <w:rPr>
                <w:spacing w:val="-8"/>
                <w:sz w:val="24"/>
              </w:rPr>
              <w:t xml:space="preserve"> </w:t>
            </w:r>
            <w:r>
              <w:rPr>
                <w:sz w:val="24"/>
              </w:rPr>
              <w:t>State</w:t>
            </w:r>
            <w:r>
              <w:rPr>
                <w:spacing w:val="-7"/>
                <w:sz w:val="24"/>
              </w:rPr>
              <w:t xml:space="preserve"> </w:t>
            </w:r>
            <w:r>
              <w:rPr>
                <w:sz w:val="24"/>
              </w:rPr>
              <w:t>University</w:t>
            </w:r>
            <w:r>
              <w:rPr>
                <w:spacing w:val="-8"/>
                <w:sz w:val="24"/>
              </w:rPr>
              <w:t xml:space="preserve"> </w:t>
            </w:r>
            <w:r>
              <w:rPr>
                <w:sz w:val="24"/>
              </w:rPr>
              <w:t>College</w:t>
            </w:r>
            <w:r>
              <w:rPr>
                <w:spacing w:val="-7"/>
                <w:sz w:val="24"/>
              </w:rPr>
              <w:t xml:space="preserve"> </w:t>
            </w:r>
            <w:r>
              <w:rPr>
                <w:sz w:val="24"/>
              </w:rPr>
              <w:t>of</w:t>
            </w:r>
            <w:r>
              <w:rPr>
                <w:spacing w:val="-8"/>
                <w:sz w:val="24"/>
              </w:rPr>
              <w:t xml:space="preserve"> </w:t>
            </w:r>
            <w:r>
              <w:rPr>
                <w:sz w:val="24"/>
              </w:rPr>
              <w:t>Health</w:t>
            </w:r>
            <w:r>
              <w:rPr>
                <w:spacing w:val="-8"/>
                <w:sz w:val="24"/>
              </w:rPr>
              <w:t xml:space="preserve"> </w:t>
            </w:r>
            <w:r>
              <w:rPr>
                <w:sz w:val="24"/>
              </w:rPr>
              <w:t xml:space="preserve">Solutions </w:t>
            </w:r>
            <w:r>
              <w:rPr>
                <w:spacing w:val="-2"/>
                <w:sz w:val="24"/>
              </w:rPr>
              <w:t>(Physician)</w:t>
            </w:r>
          </w:p>
        </w:tc>
        <w:tc>
          <w:tcPr>
            <w:tcW w:w="1560" w:type="dxa"/>
          </w:tcPr>
          <w:p w14:paraId="0A6AC857" w14:textId="77777777" w:rsidR="00A2288E" w:rsidRDefault="00A2288E" w:rsidP="00B51F1C">
            <w:pPr>
              <w:pStyle w:val="TableParagraph"/>
              <w:spacing w:line="290" w:lineRule="atLeast"/>
              <w:ind w:left="0" w:right="201"/>
              <w:jc w:val="center"/>
              <w:rPr>
                <w:sz w:val="24"/>
              </w:rPr>
            </w:pPr>
            <w:r>
              <w:rPr>
                <w:sz w:val="24"/>
              </w:rPr>
              <w:t>Phoenix</w:t>
            </w:r>
            <w:r>
              <w:rPr>
                <w:spacing w:val="-5"/>
                <w:sz w:val="24"/>
              </w:rPr>
              <w:t xml:space="preserve"> AZ</w:t>
            </w:r>
          </w:p>
        </w:tc>
      </w:tr>
      <w:tr w:rsidR="00A2288E" w14:paraId="4BE8D4FF" w14:textId="77777777" w:rsidTr="00B51F1C">
        <w:trPr>
          <w:trHeight w:val="586"/>
        </w:trPr>
        <w:tc>
          <w:tcPr>
            <w:tcW w:w="2252" w:type="dxa"/>
          </w:tcPr>
          <w:p w14:paraId="01D9BE17" w14:textId="77777777" w:rsidR="00A2288E" w:rsidRDefault="00A2288E" w:rsidP="00B51F1C">
            <w:pPr>
              <w:pStyle w:val="TableParagraph"/>
              <w:spacing w:line="290" w:lineRule="atLeast"/>
              <w:rPr>
                <w:sz w:val="24"/>
              </w:rPr>
            </w:pPr>
            <w:r>
              <w:rPr>
                <w:sz w:val="24"/>
              </w:rPr>
              <w:t>Anne</w:t>
            </w:r>
            <w:r>
              <w:rPr>
                <w:spacing w:val="-2"/>
                <w:sz w:val="24"/>
              </w:rPr>
              <w:t xml:space="preserve"> Sugrue</w:t>
            </w:r>
          </w:p>
        </w:tc>
        <w:tc>
          <w:tcPr>
            <w:tcW w:w="5550" w:type="dxa"/>
          </w:tcPr>
          <w:p w14:paraId="195E18BA" w14:textId="77777777" w:rsidR="00A2288E" w:rsidRDefault="00A2288E" w:rsidP="00B51F1C">
            <w:pPr>
              <w:pStyle w:val="TableParagraph"/>
              <w:spacing w:before="146"/>
              <w:ind w:left="0" w:right="59"/>
              <w:jc w:val="center"/>
              <w:rPr>
                <w:sz w:val="24"/>
              </w:rPr>
            </w:pPr>
            <w:r>
              <w:rPr>
                <w:sz w:val="24"/>
              </w:rPr>
              <w:t>Patient/Caregiver</w:t>
            </w:r>
            <w:r>
              <w:rPr>
                <w:spacing w:val="-9"/>
                <w:sz w:val="24"/>
              </w:rPr>
              <w:t xml:space="preserve"> </w:t>
            </w:r>
            <w:r>
              <w:rPr>
                <w:spacing w:val="-2"/>
                <w:sz w:val="24"/>
              </w:rPr>
              <w:t>Representative</w:t>
            </w:r>
          </w:p>
        </w:tc>
        <w:tc>
          <w:tcPr>
            <w:tcW w:w="1560" w:type="dxa"/>
          </w:tcPr>
          <w:p w14:paraId="49E75D08" w14:textId="77777777" w:rsidR="00A2288E" w:rsidRDefault="00A2288E" w:rsidP="00B51F1C">
            <w:pPr>
              <w:pStyle w:val="TableParagraph"/>
              <w:spacing w:line="290" w:lineRule="atLeast"/>
              <w:ind w:left="0" w:right="201"/>
              <w:jc w:val="center"/>
              <w:rPr>
                <w:sz w:val="24"/>
              </w:rPr>
            </w:pPr>
            <w:r>
              <w:rPr>
                <w:spacing w:val="-2"/>
                <w:sz w:val="24"/>
              </w:rPr>
              <w:t>Gaithersburg,</w:t>
            </w:r>
            <w:r>
              <w:rPr>
                <w:sz w:val="24"/>
              </w:rPr>
              <w:t xml:space="preserve"> </w:t>
            </w:r>
            <w:r>
              <w:rPr>
                <w:spacing w:val="-5"/>
                <w:sz w:val="24"/>
              </w:rPr>
              <w:t>MD</w:t>
            </w:r>
          </w:p>
        </w:tc>
      </w:tr>
      <w:tr w:rsidR="00A2288E" w14:paraId="04823EF2" w14:textId="77777777" w:rsidTr="00B51F1C">
        <w:trPr>
          <w:trHeight w:val="586"/>
        </w:trPr>
        <w:tc>
          <w:tcPr>
            <w:tcW w:w="2252" w:type="dxa"/>
          </w:tcPr>
          <w:p w14:paraId="3E40135A" w14:textId="77777777" w:rsidR="00A2288E" w:rsidRDefault="00A2288E" w:rsidP="00B51F1C">
            <w:pPr>
              <w:pStyle w:val="TableParagraph"/>
              <w:spacing w:line="290" w:lineRule="atLeast"/>
              <w:rPr>
                <w:sz w:val="24"/>
              </w:rPr>
            </w:pPr>
            <w:r>
              <w:rPr>
                <w:sz w:val="24"/>
              </w:rPr>
              <w:t>Benjamin</w:t>
            </w:r>
            <w:r>
              <w:rPr>
                <w:spacing w:val="-5"/>
                <w:sz w:val="24"/>
              </w:rPr>
              <w:t xml:space="preserve"> </w:t>
            </w:r>
            <w:r>
              <w:rPr>
                <w:sz w:val="24"/>
              </w:rPr>
              <w:t>Sun,</w:t>
            </w:r>
            <w:r>
              <w:rPr>
                <w:spacing w:val="-5"/>
                <w:sz w:val="24"/>
              </w:rPr>
              <w:t xml:space="preserve"> MD, </w:t>
            </w:r>
            <w:r>
              <w:rPr>
                <w:sz w:val="24"/>
              </w:rPr>
              <w:t>MPP,</w:t>
            </w:r>
            <w:r>
              <w:rPr>
                <w:spacing w:val="-4"/>
                <w:sz w:val="24"/>
              </w:rPr>
              <w:t xml:space="preserve"> </w:t>
            </w:r>
            <w:r>
              <w:rPr>
                <w:sz w:val="24"/>
              </w:rPr>
              <w:t>FACEP,</w:t>
            </w:r>
            <w:r>
              <w:rPr>
                <w:spacing w:val="-3"/>
                <w:sz w:val="24"/>
              </w:rPr>
              <w:t xml:space="preserve"> </w:t>
            </w:r>
            <w:r>
              <w:rPr>
                <w:spacing w:val="-2"/>
                <w:sz w:val="24"/>
              </w:rPr>
              <w:t>FACHE</w:t>
            </w:r>
          </w:p>
        </w:tc>
        <w:tc>
          <w:tcPr>
            <w:tcW w:w="5550" w:type="dxa"/>
          </w:tcPr>
          <w:p w14:paraId="3B333FEF" w14:textId="77777777" w:rsidR="00A2288E" w:rsidRDefault="00A2288E" w:rsidP="00B51F1C">
            <w:pPr>
              <w:pStyle w:val="TableParagraph"/>
              <w:spacing w:before="146"/>
              <w:ind w:left="0" w:right="59"/>
              <w:jc w:val="center"/>
              <w:rPr>
                <w:sz w:val="24"/>
              </w:rPr>
            </w:pPr>
            <w:r>
              <w:rPr>
                <w:sz w:val="24"/>
              </w:rPr>
              <w:t>University</w:t>
            </w:r>
            <w:r>
              <w:rPr>
                <w:spacing w:val="-7"/>
                <w:sz w:val="24"/>
              </w:rPr>
              <w:t xml:space="preserve"> </w:t>
            </w:r>
            <w:r>
              <w:rPr>
                <w:sz w:val="24"/>
              </w:rPr>
              <w:t>of</w:t>
            </w:r>
            <w:r>
              <w:rPr>
                <w:spacing w:val="-5"/>
                <w:sz w:val="24"/>
              </w:rPr>
              <w:t xml:space="preserve"> </w:t>
            </w:r>
            <w:r>
              <w:rPr>
                <w:sz w:val="24"/>
              </w:rPr>
              <w:t>Pennsylvania</w:t>
            </w:r>
            <w:r>
              <w:rPr>
                <w:spacing w:val="-4"/>
                <w:sz w:val="24"/>
              </w:rPr>
              <w:t xml:space="preserve"> </w:t>
            </w:r>
            <w:r>
              <w:rPr>
                <w:sz w:val="24"/>
              </w:rPr>
              <w:t>(Perelman</w:t>
            </w:r>
            <w:r>
              <w:rPr>
                <w:spacing w:val="-5"/>
                <w:sz w:val="24"/>
              </w:rPr>
              <w:t xml:space="preserve"> </w:t>
            </w:r>
            <w:r>
              <w:rPr>
                <w:sz w:val="24"/>
              </w:rPr>
              <w:t>Professor</w:t>
            </w:r>
            <w:r>
              <w:rPr>
                <w:spacing w:val="-4"/>
                <w:sz w:val="24"/>
              </w:rPr>
              <w:t xml:space="preserve"> </w:t>
            </w:r>
            <w:r>
              <w:rPr>
                <w:spacing w:val="-5"/>
                <w:sz w:val="24"/>
              </w:rPr>
              <w:t>and</w:t>
            </w:r>
            <w:r>
              <w:rPr>
                <w:sz w:val="24"/>
              </w:rPr>
              <w:t xml:space="preserve"> Chair,</w:t>
            </w:r>
            <w:r>
              <w:rPr>
                <w:spacing w:val="-5"/>
                <w:sz w:val="24"/>
              </w:rPr>
              <w:t xml:space="preserve"> </w:t>
            </w:r>
            <w:r>
              <w:rPr>
                <w:sz w:val="24"/>
              </w:rPr>
              <w:t>Department</w:t>
            </w:r>
            <w:r>
              <w:rPr>
                <w:spacing w:val="-4"/>
                <w:sz w:val="24"/>
              </w:rPr>
              <w:t xml:space="preserve"> </w:t>
            </w:r>
            <w:r>
              <w:rPr>
                <w:sz w:val="24"/>
              </w:rPr>
              <w:t>of</w:t>
            </w:r>
            <w:r>
              <w:rPr>
                <w:spacing w:val="-4"/>
                <w:sz w:val="24"/>
              </w:rPr>
              <w:t xml:space="preserve"> </w:t>
            </w:r>
            <w:r>
              <w:rPr>
                <w:sz w:val="24"/>
              </w:rPr>
              <w:t>Emergency</w:t>
            </w:r>
            <w:r>
              <w:rPr>
                <w:spacing w:val="-3"/>
                <w:sz w:val="24"/>
              </w:rPr>
              <w:t xml:space="preserve"> </w:t>
            </w:r>
            <w:r>
              <w:rPr>
                <w:spacing w:val="-2"/>
                <w:sz w:val="24"/>
              </w:rPr>
              <w:t>Medicine)</w:t>
            </w:r>
          </w:p>
        </w:tc>
        <w:tc>
          <w:tcPr>
            <w:tcW w:w="1560" w:type="dxa"/>
          </w:tcPr>
          <w:p w14:paraId="38287E4E" w14:textId="77777777" w:rsidR="00A2288E" w:rsidRDefault="00A2288E" w:rsidP="00B51F1C">
            <w:pPr>
              <w:pStyle w:val="TableParagraph"/>
              <w:spacing w:line="290" w:lineRule="atLeast"/>
              <w:ind w:left="0" w:right="201"/>
              <w:jc w:val="center"/>
              <w:rPr>
                <w:sz w:val="24"/>
              </w:rPr>
            </w:pPr>
            <w:r>
              <w:rPr>
                <w:spacing w:val="-2"/>
                <w:sz w:val="24"/>
              </w:rPr>
              <w:t>Philadelphia,</w:t>
            </w:r>
            <w:r>
              <w:rPr>
                <w:sz w:val="24"/>
              </w:rPr>
              <w:t xml:space="preserve"> </w:t>
            </w:r>
            <w:r>
              <w:rPr>
                <w:spacing w:val="-5"/>
                <w:sz w:val="24"/>
              </w:rPr>
              <w:t>PA</w:t>
            </w:r>
          </w:p>
        </w:tc>
      </w:tr>
    </w:tbl>
    <w:bookmarkEnd w:id="64"/>
    <w:p w14:paraId="17F84D7E" w14:textId="77777777" w:rsidR="00772065" w:rsidRPr="00616D86" w:rsidRDefault="00772065" w:rsidP="00E33AD7">
      <w:pPr>
        <w:pStyle w:val="BlueprintText"/>
        <w:spacing w:before="240"/>
        <w:rPr>
          <w:b/>
          <w:i/>
          <w:lang w:eastAsia="ja-JP"/>
        </w:rPr>
      </w:pPr>
      <w:r w:rsidRPr="00616D86">
        <w:rPr>
          <w:b/>
          <w:i/>
          <w:lang w:eastAsia="ja-JP"/>
        </w:rPr>
        <w:t>Measure Developer/Steward Updates and Ongoing Maintenance</w:t>
      </w:r>
    </w:p>
    <w:p w14:paraId="2BC1A04F" w14:textId="7F91CC8D" w:rsidR="00772065" w:rsidRDefault="00772065" w:rsidP="00772065">
      <w:pPr>
        <w:pStyle w:val="BlueprintText"/>
      </w:pPr>
      <w:r>
        <w:t xml:space="preserve">Ad.2. </w:t>
      </w:r>
      <w:r w:rsidR="001C7B4A">
        <w:t xml:space="preserve">First </w:t>
      </w:r>
      <w:r>
        <w:t xml:space="preserve">Year </w:t>
      </w:r>
      <w:r w:rsidR="001C7B4A">
        <w:t>of</w:t>
      </w:r>
      <w:r>
        <w:t xml:space="preserve"> Measure Release</w:t>
      </w:r>
    </w:p>
    <w:p w14:paraId="3E2FBFC1" w14:textId="77777777" w:rsidR="00772065" w:rsidRDefault="00772065" w:rsidP="00772065">
      <w:pPr>
        <w:pStyle w:val="BlueprintText"/>
      </w:pPr>
      <w:r>
        <w:t>Ad.3. Month and Year of Most Recent Revision</w:t>
      </w:r>
    </w:p>
    <w:p w14:paraId="48DC2CC6" w14:textId="77777777" w:rsidR="00772065" w:rsidRDefault="00772065" w:rsidP="00772065">
      <w:pPr>
        <w:pStyle w:val="BlueprintText"/>
      </w:pPr>
      <w:r>
        <w:t>Ad.4. What is your frequency for review/update of this measure?</w:t>
      </w:r>
    </w:p>
    <w:p w14:paraId="41AE83B8" w14:textId="77777777" w:rsidR="00772065" w:rsidRDefault="00772065" w:rsidP="00772065">
      <w:pPr>
        <w:pStyle w:val="BlueprintText"/>
      </w:pPr>
      <w:r>
        <w:t>Ad.5. When is your next scheduled review/update for this measure?</w:t>
      </w:r>
    </w:p>
    <w:p w14:paraId="5EFFF0E0" w14:textId="77777777" w:rsidR="00772065" w:rsidRDefault="00772065" w:rsidP="00772065">
      <w:pPr>
        <w:pStyle w:val="BlueprintText"/>
      </w:pPr>
      <w:r>
        <w:t>Ad.6. Copyright Statement</w:t>
      </w:r>
    </w:p>
    <w:p w14:paraId="1BC8A2B6" w14:textId="77777777" w:rsidR="00772065" w:rsidRDefault="00772065" w:rsidP="00772065">
      <w:pPr>
        <w:pStyle w:val="BlueprintText"/>
      </w:pPr>
      <w:r>
        <w:t>Ad.7. Disclaimers</w:t>
      </w:r>
    </w:p>
    <w:p w14:paraId="512A8EEA" w14:textId="4A50D951" w:rsidR="00B811AE" w:rsidRDefault="00772065" w:rsidP="00153ABD">
      <w:pPr>
        <w:pStyle w:val="BlueprintText"/>
      </w:pPr>
      <w:r>
        <w:t>Ad.8. Additional Information/Comments</w:t>
      </w:r>
      <w:bookmarkEnd w:id="65"/>
    </w:p>
    <w:p w14:paraId="54268F84" w14:textId="77777777" w:rsidR="00356C5C" w:rsidRDefault="00356C5C">
      <w:pPr>
        <w:rPr>
          <w:rFonts w:asciiTheme="majorHAnsi" w:eastAsiaTheme="majorEastAsia" w:hAnsiTheme="majorHAnsi" w:cstheme="majorBidi"/>
          <w:b/>
          <w:smallCaps/>
          <w:sz w:val="36"/>
          <w:szCs w:val="32"/>
        </w:rPr>
      </w:pPr>
      <w:bookmarkStart w:id="66" w:name="_Toc18926489"/>
      <w:bookmarkStart w:id="67" w:name="_Hlk504308970"/>
      <w:r>
        <w:rPr>
          <w:rFonts w:asciiTheme="majorHAnsi" w:eastAsiaTheme="majorEastAsia" w:hAnsiTheme="majorHAnsi" w:cstheme="majorBidi"/>
          <w:b/>
          <w:smallCaps/>
          <w:sz w:val="36"/>
          <w:szCs w:val="32"/>
        </w:rPr>
        <w:br w:type="page"/>
      </w:r>
    </w:p>
    <w:p w14:paraId="304D04D3" w14:textId="12E772AA" w:rsidR="00772065" w:rsidRPr="0097495F" w:rsidRDefault="00772065" w:rsidP="00C23C64">
      <w:pPr>
        <w:pStyle w:val="Heading2"/>
      </w:pPr>
      <w:r>
        <w:lastRenderedPageBreak/>
        <w:t>References</w:t>
      </w:r>
      <w:bookmarkEnd w:id="66"/>
      <w:bookmarkEnd w:id="67"/>
    </w:p>
    <w:sectPr w:rsidR="00772065" w:rsidRPr="0097495F" w:rsidSect="006733B0">
      <w:footerReference w:type="default" r:id="rId16"/>
      <w:endnotePr>
        <w:numFmt w:val="decimal"/>
      </w:endnotePr>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15BDB7" w14:textId="77777777" w:rsidR="002F25BA" w:rsidRDefault="002F25BA" w:rsidP="00794ABA">
      <w:pPr>
        <w:spacing w:after="0" w:line="240" w:lineRule="auto"/>
      </w:pPr>
      <w:r>
        <w:separator/>
      </w:r>
    </w:p>
  </w:endnote>
  <w:endnote w:type="continuationSeparator" w:id="0">
    <w:p w14:paraId="3E4DB9C5" w14:textId="77777777" w:rsidR="002F25BA" w:rsidRDefault="002F25BA" w:rsidP="00794ABA">
      <w:pPr>
        <w:spacing w:after="0" w:line="240" w:lineRule="auto"/>
      </w:pPr>
      <w:r>
        <w:continuationSeparator/>
      </w:r>
    </w:p>
  </w:endnote>
  <w:endnote w:type="continuationNotice" w:id="1">
    <w:p w14:paraId="192D34D3" w14:textId="77777777" w:rsidR="002F25BA" w:rsidRDefault="002F25BA">
      <w:pPr>
        <w:spacing w:after="0" w:line="240" w:lineRule="auto"/>
      </w:pPr>
    </w:p>
  </w:endnote>
  <w:endnote w:id="2">
    <w:p w14:paraId="4252D18C" w14:textId="2BCA0CCD" w:rsidR="00533F93" w:rsidRPr="00E33AD7" w:rsidRDefault="00533F93"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ACEP. Definition of Boarded Patient. https://www.acep.org/patient-care/policy-statements/definition-of-boarded-patient (2018).</w:t>
      </w:r>
    </w:p>
  </w:endnote>
  <w:endnote w:id="3">
    <w:p w14:paraId="69AE7EFA" w14:textId="6740233F" w:rsidR="00533F93" w:rsidRPr="00E33AD7" w:rsidRDefault="00533F93" w:rsidP="00947A09">
      <w:pPr>
        <w:spacing w:after="0"/>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Burgess, L., Ray‐Barruel, G. &amp; Kynoch, K. Association between emergency department length of stay and patient outcomes: A systematic review. Res. Nurs. Health 45, 59–93 (2022).</w:t>
      </w:r>
    </w:p>
  </w:endnote>
  <w:endnote w:id="4">
    <w:p w14:paraId="73B46111" w14:textId="08B0D210" w:rsidR="00533F93" w:rsidRPr="00E33AD7" w:rsidRDefault="00533F93" w:rsidP="00947A09">
      <w:pPr>
        <w:spacing w:after="0"/>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Reznek, M. A. et al. Mortality Associated With Emergency Department Boarding Exposure: Are There Differences Between Patients Admitted to ICU and Non-ICU Settings? Med. Care 56, 436–440 (2018).</w:t>
      </w:r>
    </w:p>
  </w:endnote>
  <w:endnote w:id="5">
    <w:p w14:paraId="726D1E2C" w14:textId="02777341" w:rsidR="00533F93" w:rsidRPr="00E33AD7" w:rsidRDefault="00533F93" w:rsidP="00947A09">
      <w:pPr>
        <w:spacing w:after="0"/>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Roussel, M. et al. Overnight Stay in the Emergency Department and Mortality in Older Patients. JAMA Intern. Med. 183, 1378 (2023).</w:t>
      </w:r>
    </w:p>
  </w:endnote>
  <w:endnote w:id="6">
    <w:p w14:paraId="4D243B9C" w14:textId="54B17B20" w:rsidR="00533F93" w:rsidRPr="00E33AD7" w:rsidRDefault="00533F93"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Hsuan, C., Segel, J. E., Hsia, R. Y., Wang, Y. &amp; Rogowski, J. Association of emergency department crowding with inpatient outcomes. Health Serv. Res. 58, 828–843 (2023).</w:t>
      </w:r>
    </w:p>
  </w:endnote>
  <w:endnote w:id="7">
    <w:p w14:paraId="7DC7DA7D" w14:textId="0D629D64" w:rsidR="00533F93" w:rsidRPr="00E33AD7" w:rsidRDefault="00533F93"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Gaieski, D. F. et al. The impact of ED crowding on early interventions and mortality in patients with severe sepsis. Am. J. Emerg. Med. 35, 953–960 (2017).</w:t>
      </w:r>
    </w:p>
  </w:endnote>
  <w:endnote w:id="8">
    <w:p w14:paraId="4D0F98D0" w14:textId="635475E6" w:rsidR="00533F93" w:rsidRPr="00E33AD7" w:rsidRDefault="00533F93"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Reznek, M. A., Larkin, C. M., Scheulen, J. J., Harbertson, C. A. &amp; Michael, S. S. Operational factors associated with emergency department patient satisfaction: Analysis of the Academy of Administrators of Emergency Medicine/Association of Academic Chairs of Emergency Medicine national survey. Acad. Emerg. Med. 28, 753–760 (2021).</w:t>
      </w:r>
    </w:p>
  </w:endnote>
  <w:endnote w:id="9">
    <w:p w14:paraId="6A4AA2ED" w14:textId="3B8D2402" w:rsidR="00533F93" w:rsidRPr="00E33AD7" w:rsidRDefault="00533F93" w:rsidP="00947A09">
      <w:pPr>
        <w:spacing w:after="0"/>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Loke, D. E., Green, K. A., Wessling, E. G., Stulpin, E. T. &amp; Fant, A. L. Clinicians’ Insights on Emergency Department Boarding: An Explanatory Mixed Methods Study Evaluating Patient Care and Clinician Well-Being. Jt. Comm. J. Qual. Patient Saf. 49, 663–670 (2023).</w:t>
      </w:r>
    </w:p>
  </w:endnote>
  <w:endnote w:id="10">
    <w:p w14:paraId="136EB0FE" w14:textId="74A8578E" w:rsidR="00533F93" w:rsidRPr="00E33AD7" w:rsidRDefault="00533F93"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Ruffo, R., Shufflebarger, E., Booth, J. &amp; Walter, L. Race and Other Disparate Demographic Variables Identified Among Emergency Department Boarders. West. J. Emerg. Med. 23, 644–649 (2022).</w:t>
      </w:r>
    </w:p>
  </w:endnote>
  <w:endnote w:id="11">
    <w:p w14:paraId="242ED5B0" w14:textId="7DC106DA" w:rsidR="00533F93" w:rsidRPr="00E33AD7" w:rsidRDefault="00533F93"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Wan, William. An autistic teen needed mental health help. He spent weeks in an ER instead. The Washington Post (2022).</w:t>
      </w:r>
    </w:p>
  </w:endnote>
  <w:endnote w:id="12">
    <w:p w14:paraId="071E7241" w14:textId="285A8706" w:rsidR="00533F93" w:rsidRPr="00E33AD7" w:rsidRDefault="00533F93"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ACEP. Emergency Department Boarding and Crowding. https://www.acep.org/administration/crowding--boarding .</w:t>
      </w:r>
    </w:p>
  </w:endnote>
  <w:endnote w:id="13">
    <w:p w14:paraId="4B60A2AF" w14:textId="4D7F4574" w:rsidR="00533F93" w:rsidRPr="00E33AD7" w:rsidRDefault="00533F93"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ACE. A First Look at Emergency Department Data for 2022. https://www.acepnow.com/article/a-first-look-at-emergency-department-data-for-2022/ (2023).</w:t>
      </w:r>
    </w:p>
  </w:endnote>
  <w:endnote w:id="14">
    <w:p w14:paraId="0716F0C4" w14:textId="269856DF" w:rsidR="00533F93" w:rsidRPr="00E33AD7" w:rsidRDefault="00533F93"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ACEP. Letter to POTUS. https://www.acep.org/globalassets/new-pdfs/advocacy/emergency-department-boarding-crisis-sign-on-letter-11.07.22.pdf (2022).</w:t>
      </w:r>
    </w:p>
  </w:endnote>
  <w:endnote w:id="15">
    <w:p w14:paraId="2CF6A730" w14:textId="30AB3EB1" w:rsidR="007D5221" w:rsidRPr="00E33AD7" w:rsidRDefault="007D5221" w:rsidP="00947A09">
      <w:pPr>
        <w:spacing w:after="0"/>
        <w:rPr>
          <w:rFonts w:cstheme="minorHAnsi"/>
          <w:color w:val="212121"/>
          <w:sz w:val="24"/>
          <w:szCs w:val="24"/>
          <w:shd w:val="clear" w:color="auto" w:fill="FFFFFF"/>
        </w:rPr>
      </w:pPr>
      <w:r w:rsidRPr="00E33AD7">
        <w:rPr>
          <w:rStyle w:val="EndnoteReference"/>
          <w:rFonts w:cstheme="minorHAnsi"/>
          <w:sz w:val="24"/>
          <w:szCs w:val="24"/>
        </w:rPr>
        <w:endnoteRef/>
      </w:r>
      <w:r w:rsidRPr="00E33AD7">
        <w:rPr>
          <w:rFonts w:cstheme="minorHAnsi"/>
          <w:sz w:val="24"/>
          <w:szCs w:val="24"/>
        </w:rPr>
        <w:t xml:space="preserve"> </w:t>
      </w:r>
      <w:r w:rsidRPr="00E33AD7">
        <w:rPr>
          <w:rFonts w:cstheme="minorHAnsi"/>
          <w:color w:val="212121"/>
          <w:sz w:val="24"/>
          <w:szCs w:val="24"/>
          <w:shd w:val="clear" w:color="auto" w:fill="FFFFFF"/>
        </w:rPr>
        <w:t>Andersson J, Nordgren L, Cheng I, Nilsson U, Kurland L. Long emergency department length of stay: A concept analysis. Int Emerg Nurs. 2020 Nov;53:100930. doi: 10.1016/j.ienj.2020.100930. Epub 2020 Oct 6. PMID: 33035877.</w:t>
      </w:r>
    </w:p>
  </w:endnote>
  <w:endnote w:id="16">
    <w:p w14:paraId="074D3D70" w14:textId="2FA25FF0" w:rsidR="007D5221" w:rsidRPr="00E33AD7" w:rsidRDefault="007D5221"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Sharma R, Prakash A, Chauhan R, Dhibar DP. Overcrowding an encumbrance for an emergency health-care system: A perspective of Health-care providers from tertiary care center in Northern India. J Educ Health Promot. 2021 Jan 28;10:5. doi: 10.4103/jehp.jehp_289_20. PMID: 33688514; PMCID: PMC7933695.</w:t>
      </w:r>
    </w:p>
  </w:endnote>
  <w:endnote w:id="17">
    <w:p w14:paraId="1A04B6B5" w14:textId="4B4C4F61" w:rsidR="007D5221" w:rsidRPr="00E33AD7" w:rsidRDefault="007D5221" w:rsidP="00947A09">
      <w:pPr>
        <w:spacing w:after="0"/>
        <w:rPr>
          <w:rFonts w:cstheme="minorHAnsi"/>
          <w:color w:val="212121"/>
          <w:sz w:val="24"/>
          <w:szCs w:val="24"/>
          <w:shd w:val="clear" w:color="auto" w:fill="FFFFFF"/>
        </w:rPr>
      </w:pPr>
      <w:r w:rsidRPr="00E33AD7">
        <w:rPr>
          <w:rStyle w:val="EndnoteReference"/>
          <w:rFonts w:cstheme="minorHAnsi"/>
          <w:sz w:val="24"/>
          <w:szCs w:val="24"/>
        </w:rPr>
        <w:endnoteRef/>
      </w:r>
      <w:r w:rsidRPr="00E33AD7">
        <w:rPr>
          <w:rFonts w:cstheme="minorHAnsi"/>
          <w:sz w:val="24"/>
          <w:szCs w:val="24"/>
        </w:rPr>
        <w:t xml:space="preserve"> </w:t>
      </w:r>
      <w:r w:rsidRPr="00E33AD7">
        <w:rPr>
          <w:rFonts w:cstheme="minorHAnsi"/>
          <w:color w:val="212121"/>
          <w:sz w:val="24"/>
          <w:szCs w:val="24"/>
          <w:shd w:val="clear" w:color="auto" w:fill="FFFFFF"/>
        </w:rPr>
        <w:t>Van Heukelom P, Vakkalanka JP, Pedersen R, Nugent AS. Inpatient boarding definitions and mitigation strategies: A cross-sectional survey of academic emergency departments in the United States. Am J Emerg Med. 2023 May;67:37-40. doi: 10.1016/j.ajem.2023.01.056. Epub 2023 Feb 9. PMID: 36796239; PMCID: PMC10121851.</w:t>
      </w:r>
    </w:p>
  </w:endnote>
  <w:endnote w:id="18">
    <w:p w14:paraId="7883D0CB" w14:textId="13DD87BC" w:rsidR="007D5221" w:rsidRPr="00E33AD7" w:rsidRDefault="007D5221"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Jones PG, Mountain D, Forero R. Review article: Emergency department crowding measures associations with quality of care: A systematic review. Emerg Med Australas. 2021 Aug;33(4):592-600. doi: 10.1111/1742-6723.13743. Epub 2021 Mar 16. PMID: 33724707.</w:t>
      </w:r>
    </w:p>
  </w:endnote>
  <w:endnote w:id="19">
    <w:p w14:paraId="685B83BD" w14:textId="7A08962E" w:rsidR="007D5221" w:rsidRPr="00E33AD7" w:rsidRDefault="007D5221"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Javidan AP, Hansen K, Higginson I, Jones P, Lang E; IFEM Task Force on Emergency Department Crowding and Access Block. The International Federation for Emergency Medicine report on emergency department crowding and access block: A brief summary. Emerg Med Australas. 2021 Feb;33(1):161-163. doi: 10.1111/1742-6723.13660. Epub 2021 Jan 13. PMID: 33440078.</w:t>
      </w:r>
    </w:p>
  </w:endnote>
  <w:endnote w:id="20">
    <w:p w14:paraId="78418B5E" w14:textId="30BD38BD" w:rsidR="007D5221" w:rsidRPr="00E33AD7" w:rsidRDefault="007D5221"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McRae AD, Rowe BH, Usman I, Lang ES, Innes GD, Schull MJ, Rosychuk R. A comparative evaluation of the strengths of association between different emergency department crowding metrics and repeat visits within 72 hours. CJEM. 2022 Jan;24(1):27-34. doi: 10.1007/s43678-021-00234-4. Epub 2021 Dec 18. PMID: 34921658.</w:t>
      </w:r>
    </w:p>
  </w:endnote>
  <w:endnote w:id="21">
    <w:p w14:paraId="531604BA" w14:textId="4AC84A4A" w:rsidR="007D5221" w:rsidRPr="00E33AD7" w:rsidRDefault="007D5221"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Ahalt V, Argon NT, Ziya S, Strickler J, Mehrotra A. Comparison of emergency department crowding scores: a discrete-event simulation approach. Health Care Manag Sci. 2018 Mar;21(1):144-155. doi: 10.1007/s10729-016-9385-z. Epub 2016 Oct 4. PMID: 27704323.</w:t>
      </w:r>
    </w:p>
  </w:endnote>
  <w:endnote w:id="22">
    <w:p w14:paraId="4B48016C" w14:textId="498E152E" w:rsidR="007D5221" w:rsidRPr="00E33AD7" w:rsidRDefault="007D5221" w:rsidP="00947A09">
      <w:pPr>
        <w:spacing w:after="0"/>
        <w:rPr>
          <w:rFonts w:cstheme="minorHAnsi"/>
          <w:color w:val="212121"/>
          <w:sz w:val="24"/>
          <w:szCs w:val="24"/>
          <w:shd w:val="clear" w:color="auto" w:fill="FFFFFF"/>
        </w:rPr>
      </w:pPr>
      <w:r w:rsidRPr="00E33AD7">
        <w:rPr>
          <w:rStyle w:val="EndnoteReference"/>
          <w:rFonts w:cstheme="minorHAnsi"/>
          <w:sz w:val="24"/>
          <w:szCs w:val="24"/>
        </w:rPr>
        <w:endnoteRef/>
      </w:r>
      <w:r w:rsidRPr="00E33AD7">
        <w:rPr>
          <w:rFonts w:cstheme="minorHAnsi"/>
          <w:sz w:val="24"/>
          <w:szCs w:val="24"/>
        </w:rPr>
        <w:t xml:space="preserve"> </w:t>
      </w:r>
      <w:r w:rsidRPr="00E33AD7">
        <w:rPr>
          <w:rFonts w:cstheme="minorHAnsi"/>
          <w:color w:val="212121"/>
          <w:sz w:val="24"/>
          <w:szCs w:val="24"/>
          <w:shd w:val="clear" w:color="auto" w:fill="FFFFFF"/>
        </w:rPr>
        <w:t>Jobé J, Donneau AF, Scholtes B, Ghuysen A. Quantifying emergency department crowding: comparison between two scores. Acta Clin Belg. 2018 Jun;73(3):207-212. doi: 10.1080/17843286.2017.1410605. Epub 2017 Dec 5. PMID: 29207925.</w:t>
      </w:r>
    </w:p>
  </w:endnote>
  <w:endnote w:id="23">
    <w:p w14:paraId="4CCD640F" w14:textId="4D5E4CC8" w:rsidR="007D5221" w:rsidRPr="00E33AD7" w:rsidRDefault="007D5221"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Improta, G., Majolo, M., Raiola, E. et al. A case study to investigate the impact of overcrowding indices in emergency departments. BMC Emerg Med 22, 143 (2022). https://doi.org/10.1186/s12873-022-00703-8</w:t>
      </w:r>
    </w:p>
  </w:endnote>
  <w:endnote w:id="24">
    <w:p w14:paraId="65CEF201" w14:textId="6ACF507D" w:rsidR="007D5221" w:rsidRPr="00E33AD7" w:rsidRDefault="007D5221" w:rsidP="00947A09">
      <w:pPr>
        <w:spacing w:after="0"/>
        <w:rPr>
          <w:rFonts w:cstheme="minorHAnsi"/>
          <w:color w:val="212121"/>
          <w:sz w:val="24"/>
          <w:szCs w:val="24"/>
          <w:shd w:val="clear" w:color="auto" w:fill="FFFFFF"/>
        </w:rPr>
      </w:pPr>
      <w:r w:rsidRPr="00E33AD7">
        <w:rPr>
          <w:rStyle w:val="EndnoteReference"/>
          <w:rFonts w:cstheme="minorHAnsi"/>
          <w:sz w:val="24"/>
          <w:szCs w:val="24"/>
        </w:rPr>
        <w:endnoteRef/>
      </w:r>
      <w:r w:rsidRPr="00E33AD7">
        <w:rPr>
          <w:rFonts w:cstheme="minorHAnsi"/>
          <w:sz w:val="24"/>
          <w:szCs w:val="24"/>
        </w:rPr>
        <w:t xml:space="preserve"> </w:t>
      </w:r>
      <w:r w:rsidRPr="00E33AD7">
        <w:rPr>
          <w:rFonts w:cstheme="minorHAnsi"/>
          <w:color w:val="212121"/>
          <w:sz w:val="24"/>
          <w:szCs w:val="24"/>
          <w:shd w:val="clear" w:color="auto" w:fill="FFFFFF"/>
        </w:rPr>
        <w:t>Boyle A, Atkinson P, Basaure Verdejo C, Chan E, Clouston R, Gilligan P, Grewal K, Higginson I, Liston P, Newcombe V, Norton V, Richter S, Stoica G, Wakai A. Validation of the short form of the International Crowding Measure in Emergency Departments: an international study. Eur J Emerg Med. 2019 Dec;26(6):405-411. doi: 10.1097/MEJ.0000000000000579. PMID: 30431450.</w:t>
      </w:r>
    </w:p>
  </w:endnote>
  <w:endnote w:id="25">
    <w:p w14:paraId="62AA0E50" w14:textId="2E4FAFE4" w:rsidR="007D5221" w:rsidRPr="00E33AD7" w:rsidRDefault="007D5221" w:rsidP="00947A09">
      <w:pPr>
        <w:spacing w:after="0"/>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Boudi Z, Lauque D, Alsabri M, Östlundh L, Oneyji C, Khalemsky A, Lojo Rial C, W Liu S, A Camargo C Jr, Aburawi E, Moeckel M, Slagman A, Christ M, Singer A, Tazarourte K, Rathlev NK, A Grossman S, Bellou A. Association between boarding in the emergency department and in-hospital mortality: A systematic review. PLoS One. 2020 Apr 15;15(4):e0231253. doi: 10.1371/journal.pone.0231253. PMID: 32294111; PMCID: PMC7159217.</w:t>
      </w:r>
    </w:p>
  </w:endnote>
  <w:endnote w:id="26">
    <w:p w14:paraId="423E9B5F" w14:textId="7C9A4934" w:rsidR="007D5221" w:rsidRPr="00E33AD7" w:rsidRDefault="007D5221"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Alsabri M, Boudi Z, Zoubeidi T, Alfaki IA, Levy P, Oneyji C, Shan L, Camargo CA Jr, Michel P, Tazarourte K, Hachimi-Idrissi S, Grossman S, Bellou A. Analysis of Risk Factors for Patient Safety Events Occurring in the Emergency Department. J Patient Saf. 2022 Jan 1;18(1):e124-e135. doi: 10.1097/PTS.0000000000000715. PMID: 32853517.</w:t>
      </w:r>
    </w:p>
  </w:endnote>
  <w:endnote w:id="27">
    <w:p w14:paraId="1A7098E3" w14:textId="421B87A2" w:rsidR="007D5221" w:rsidRPr="00E33AD7" w:rsidRDefault="007D5221" w:rsidP="00947A09">
      <w:pPr>
        <w:spacing w:after="0"/>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Morley C, Unwin M, Peterson GM, Stankovich J, Kinsman L. Emergency department crowding: A systematic review of causes, consequences and solutions. PLoS One. 2018 Aug 30;13(8):e0203316. doi: 10.1371/journal.pone.0203316. PMID: 30161242; PMCID: PMC6117060.</w:t>
      </w:r>
    </w:p>
  </w:endnote>
  <w:endnote w:id="28">
    <w:p w14:paraId="500D11F2" w14:textId="094E0DEB" w:rsidR="007D5221" w:rsidRPr="00E33AD7" w:rsidRDefault="007D5221"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Major, D., Rittenbach, K., MacMaster, F. et al. Exploring the experience of boarded psychiatric patients in adult emergency departments. BMC Psychiatry 21, 473 (2021). https://doi.org/10.1186/s12888-021-03446-1</w:t>
      </w:r>
    </w:p>
  </w:endnote>
  <w:endnote w:id="29">
    <w:p w14:paraId="5B727FAD" w14:textId="5A5EC980" w:rsidR="007D5221" w:rsidRPr="00E33AD7" w:rsidRDefault="007D5221"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Janke AT, Melnick ER, Venkatesh AK. Hospital Occupancy and Emergency Department Boarding During the COVID-19 Pandemic. JAMA Netw Open. 2022 Sep 1;5(9):e2233964. doi: 10.1001/jamanetworkopen.2022.33964. PMID: 36178691; PMCID: PMC9526134.</w:t>
      </w:r>
    </w:p>
  </w:endnote>
  <w:endnote w:id="30">
    <w:p w14:paraId="514541F0" w14:textId="0908FBF2" w:rsidR="007D5221" w:rsidRPr="00E33AD7" w:rsidRDefault="007D5221"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Kim JS, Bae HJ, Sohn CH, Cho SE, Hwang J, Kim WY, Kim N, Seo DW. Maximum emergency department overcrowding is correlated with occurrence of unexpected cardiac arrest. Crit Care. 2020 Jun 6;24(1):305. doi: 10.1186/s13054-020-03019-w. Erratum in: Crit Care. 2020 Aug 3;24(1):480. PMID: 32505196; PMCID: PMC7276085.</w:t>
      </w:r>
    </w:p>
  </w:endnote>
  <w:endnote w:id="31">
    <w:p w14:paraId="1A6DCC2C" w14:textId="3E3C365C" w:rsidR="00A35272" w:rsidRPr="00E33AD7" w:rsidRDefault="00A35272"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w:t>
      </w:r>
      <w:r w:rsidRPr="00E33AD7">
        <w:rPr>
          <w:rFonts w:cstheme="minorHAnsi"/>
          <w:color w:val="37393C"/>
          <w:sz w:val="24"/>
          <w:szCs w:val="24"/>
          <w:shd w:val="clear" w:color="auto" w:fill="FFFFFF"/>
        </w:rPr>
        <w:t>Dombagoll M, Kant J, Lai F, Hendarto A, Taylor D. (2019). Barriers to providing optimal management of psychiatric patients in the emergency department (psychiatric patient management). </w:t>
      </w:r>
      <w:r w:rsidRPr="00E33AD7">
        <w:rPr>
          <w:rFonts w:cstheme="minorHAnsi"/>
          <w:i/>
          <w:iCs/>
          <w:color w:val="37393C"/>
          <w:sz w:val="24"/>
          <w:szCs w:val="24"/>
          <w:shd w:val="clear" w:color="auto" w:fill="FFFFFF"/>
        </w:rPr>
        <w:t>Australasian Emergency Care</w:t>
      </w:r>
      <w:r w:rsidRPr="00E33AD7">
        <w:rPr>
          <w:rFonts w:cstheme="minorHAnsi"/>
          <w:color w:val="37393C"/>
          <w:sz w:val="24"/>
          <w:szCs w:val="24"/>
          <w:shd w:val="clear" w:color="auto" w:fill="FFFFFF"/>
        </w:rPr>
        <w:t>, </w:t>
      </w:r>
      <w:r w:rsidRPr="00E33AD7">
        <w:rPr>
          <w:rFonts w:cstheme="minorHAnsi"/>
          <w:i/>
          <w:iCs/>
          <w:color w:val="37393C"/>
          <w:sz w:val="24"/>
          <w:szCs w:val="24"/>
          <w:shd w:val="clear" w:color="auto" w:fill="FFFFFF"/>
        </w:rPr>
        <w:t>22</w:t>
      </w:r>
      <w:r w:rsidRPr="00E33AD7">
        <w:rPr>
          <w:rFonts w:cstheme="minorHAnsi"/>
          <w:color w:val="37393C"/>
          <w:sz w:val="24"/>
          <w:szCs w:val="24"/>
          <w:shd w:val="clear" w:color="auto" w:fill="FFFFFF"/>
        </w:rPr>
        <w:t xml:space="preserve">(1), 8–12. </w:t>
      </w:r>
      <w:hyperlink r:id="rId1" w:history="1">
        <w:r w:rsidRPr="00E33AD7">
          <w:rPr>
            <w:rStyle w:val="Hyperlink"/>
            <w:rFonts w:cstheme="minorHAnsi"/>
            <w:sz w:val="24"/>
            <w:szCs w:val="24"/>
            <w:shd w:val="clear" w:color="auto" w:fill="FFFFFF"/>
          </w:rPr>
          <w:t>https://doi.org/10.1016/j.auec.2019.01.001</w:t>
        </w:r>
      </w:hyperlink>
    </w:p>
  </w:endnote>
  <w:endnote w:id="32">
    <w:p w14:paraId="7228B05E" w14:textId="5AC0E504" w:rsidR="00A35272" w:rsidRPr="00E33AD7" w:rsidRDefault="00A35272"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w:t>
      </w:r>
      <w:r w:rsidRPr="00E33AD7">
        <w:rPr>
          <w:rFonts w:cstheme="minorHAnsi"/>
          <w:color w:val="37393C"/>
          <w:sz w:val="24"/>
          <w:szCs w:val="24"/>
          <w:shd w:val="clear" w:color="auto" w:fill="FFFFFF"/>
        </w:rPr>
        <w:t>Lee S, Chen H, Hibino S, Miller D, Healy H, Lee J, Arendts G, Han J, Kennedy M, &amp; Carpenter C. (2022). Can we improve delirium prevention and treatment in the emergency department? A systematic review. </w:t>
      </w:r>
      <w:r w:rsidRPr="00E33AD7">
        <w:rPr>
          <w:rFonts w:cstheme="minorHAnsi"/>
          <w:i/>
          <w:iCs/>
          <w:color w:val="37393C"/>
          <w:sz w:val="24"/>
          <w:szCs w:val="24"/>
          <w:shd w:val="clear" w:color="auto" w:fill="FFFFFF"/>
        </w:rPr>
        <w:t>Journal of the American Geriatrics Society</w:t>
      </w:r>
      <w:r w:rsidRPr="00E33AD7">
        <w:rPr>
          <w:rFonts w:cstheme="minorHAnsi"/>
          <w:color w:val="37393C"/>
          <w:sz w:val="24"/>
          <w:szCs w:val="24"/>
          <w:shd w:val="clear" w:color="auto" w:fill="FFFFFF"/>
        </w:rPr>
        <w:t>, </w:t>
      </w:r>
      <w:r w:rsidRPr="00E33AD7">
        <w:rPr>
          <w:rFonts w:cstheme="minorHAnsi"/>
          <w:i/>
          <w:iCs/>
          <w:color w:val="37393C"/>
          <w:sz w:val="24"/>
          <w:szCs w:val="24"/>
          <w:shd w:val="clear" w:color="auto" w:fill="FFFFFF"/>
        </w:rPr>
        <w:t>70</w:t>
      </w:r>
      <w:r w:rsidRPr="00E33AD7">
        <w:rPr>
          <w:rFonts w:cstheme="minorHAnsi"/>
          <w:color w:val="37393C"/>
          <w:sz w:val="24"/>
          <w:szCs w:val="24"/>
          <w:shd w:val="clear" w:color="auto" w:fill="FFFFFF"/>
        </w:rPr>
        <w:t xml:space="preserve">(6), 1838–1849. </w:t>
      </w:r>
      <w:hyperlink r:id="rId2" w:history="1">
        <w:r w:rsidRPr="00E33AD7">
          <w:rPr>
            <w:rStyle w:val="Hyperlink"/>
            <w:rFonts w:cstheme="minorHAnsi"/>
            <w:sz w:val="24"/>
            <w:szCs w:val="24"/>
            <w:shd w:val="clear" w:color="auto" w:fill="FFFFFF"/>
          </w:rPr>
          <w:t>https://doi.org/10.1111/jgs.17740</w:t>
        </w:r>
      </w:hyperlink>
    </w:p>
  </w:endnote>
  <w:endnote w:id="33">
    <w:p w14:paraId="47803875" w14:textId="3CE52F6B" w:rsidR="00A35272" w:rsidRPr="00E33AD7" w:rsidRDefault="00A35272"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Berg LM, Ehrenberg A, Florin J, Östergren J, Discacciati A, Göransson KE. Associations Between Crowding and Ten-Day Mortality Among Patients Allocated Lower Triage Acuity Levels Without Need of Acute Hospital Care on Departure From the Emergency Department. Ann Emerg Med. 2019 Sep;74(3):345-356. doi: 10.1016/j.annemergmed.2019.04.012. Epub 2019 Jun 20. PMID: 31229391.</w:t>
      </w:r>
    </w:p>
  </w:endnote>
  <w:endnote w:id="34">
    <w:p w14:paraId="77DB6012" w14:textId="6D305C88" w:rsidR="00A35272" w:rsidRPr="00E33AD7" w:rsidRDefault="00A35272" w:rsidP="00947A09">
      <w:pPr>
        <w:spacing w:after="0"/>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w:t>
      </w:r>
      <w:r w:rsidRPr="00E33AD7">
        <w:rPr>
          <w:rFonts w:cstheme="minorHAnsi"/>
          <w:color w:val="333333"/>
          <w:sz w:val="24"/>
          <w:szCs w:val="24"/>
          <w:shd w:val="clear" w:color="auto" w:fill="FFFFFF"/>
        </w:rPr>
        <w:t>Austin EE, Blakely B, Tufanaru C. </w:t>
      </w:r>
      <w:r w:rsidRPr="00E33AD7">
        <w:rPr>
          <w:rFonts w:cstheme="minorHAnsi"/>
          <w:i/>
          <w:iCs/>
          <w:color w:val="333333"/>
          <w:sz w:val="24"/>
          <w:szCs w:val="24"/>
          <w:shd w:val="clear" w:color="auto" w:fill="FFFFFF"/>
        </w:rPr>
        <w:t>et al.</w:t>
      </w:r>
      <w:r w:rsidRPr="00E33AD7">
        <w:rPr>
          <w:rFonts w:cstheme="minorHAnsi"/>
          <w:color w:val="333333"/>
          <w:sz w:val="24"/>
          <w:szCs w:val="24"/>
          <w:shd w:val="clear" w:color="auto" w:fill="FFFFFF"/>
        </w:rPr>
        <w:t> Strategies to measure and improve emergency department performance: a scoping review. </w:t>
      </w:r>
      <w:r w:rsidRPr="00E33AD7">
        <w:rPr>
          <w:rFonts w:cstheme="minorHAnsi"/>
          <w:i/>
          <w:iCs/>
          <w:color w:val="333333"/>
          <w:sz w:val="24"/>
          <w:szCs w:val="24"/>
          <w:shd w:val="clear" w:color="auto" w:fill="FFFFFF"/>
        </w:rPr>
        <w:t>Scand J Trauma Resusc Emerg Med</w:t>
      </w:r>
      <w:r w:rsidRPr="00E33AD7">
        <w:rPr>
          <w:rFonts w:cstheme="minorHAnsi"/>
          <w:color w:val="333333"/>
          <w:sz w:val="24"/>
          <w:szCs w:val="24"/>
          <w:shd w:val="clear" w:color="auto" w:fill="FFFFFF"/>
        </w:rPr>
        <w:t> 28, 55 (2020). https://doi.org/10.1186/s13049-020-00749-2</w:t>
      </w:r>
    </w:p>
  </w:endnote>
  <w:endnote w:id="35">
    <w:p w14:paraId="6A4502D8" w14:textId="735ABE8C" w:rsidR="00A35272" w:rsidRPr="00E33AD7" w:rsidRDefault="00A35272" w:rsidP="00947A09">
      <w:pPr>
        <w:spacing w:after="0"/>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w:t>
      </w:r>
      <w:r w:rsidRPr="00E33AD7">
        <w:rPr>
          <w:rFonts w:cstheme="minorHAnsi"/>
          <w:color w:val="212121"/>
          <w:sz w:val="24"/>
          <w:szCs w:val="24"/>
          <w:shd w:val="clear" w:color="auto" w:fill="FFFFFF"/>
        </w:rPr>
        <w:t>De Freitas L, Goodacre S, O'Hara R, Thokala P, Hariharan S. Interventions to improve patient flow in emergency departments: an umbrella review. Emerg Med J. 2018 Oct;35(10):626-637. doi: 10.1136/emermed-2017-207263. Epub 2018 Aug 9. PMID: 30093379.</w:t>
      </w:r>
    </w:p>
  </w:endnote>
  <w:endnote w:id="36">
    <w:p w14:paraId="557CAE29" w14:textId="7B4CE57C" w:rsidR="00A35272" w:rsidRPr="00E33AD7" w:rsidRDefault="00A35272" w:rsidP="00947A09">
      <w:pPr>
        <w:spacing w:after="0"/>
        <w:rPr>
          <w:rFonts w:cstheme="minorHAnsi"/>
          <w:color w:val="212121"/>
          <w:sz w:val="24"/>
          <w:szCs w:val="24"/>
          <w:shd w:val="clear" w:color="auto" w:fill="FFFFFF"/>
        </w:rPr>
      </w:pPr>
      <w:r w:rsidRPr="00E33AD7">
        <w:rPr>
          <w:rStyle w:val="EndnoteReference"/>
          <w:rFonts w:cstheme="minorHAnsi"/>
          <w:sz w:val="24"/>
          <w:szCs w:val="24"/>
        </w:rPr>
        <w:endnoteRef/>
      </w:r>
      <w:r w:rsidRPr="00E33AD7">
        <w:rPr>
          <w:rFonts w:cstheme="minorHAnsi"/>
          <w:sz w:val="24"/>
          <w:szCs w:val="24"/>
        </w:rPr>
        <w:t xml:space="preserve"> </w:t>
      </w:r>
      <w:r w:rsidRPr="00E33AD7">
        <w:rPr>
          <w:rFonts w:cstheme="minorHAnsi"/>
          <w:color w:val="212121"/>
          <w:sz w:val="24"/>
          <w:szCs w:val="24"/>
          <w:shd w:val="clear" w:color="auto" w:fill="FFFFFF"/>
        </w:rPr>
        <w:t>Burns TA, Kaufman B, Stone RM. An EMS Transport Destination Officer is Associated with Reductions in Simultaneous Emergency Department Arrivals. Prehosp Emerg Care. 2022 Sep 2:1-5. doi: 10.1080/10903127.2022.2107126. Epub ahead of print. PMID: 35894867.</w:t>
      </w:r>
    </w:p>
  </w:endnote>
  <w:endnote w:id="37">
    <w:p w14:paraId="65E632D9" w14:textId="50ECE471" w:rsidR="00A35272" w:rsidRPr="00E33AD7" w:rsidRDefault="00A35272" w:rsidP="00636608">
      <w:pPr>
        <w:spacing w:after="0"/>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Bittencourt RJ, Stevanato AM, Bragança CTNM, Gottems LBD, O'Dwyer G. Interventions in overcrowding of emergency departments: an overview of systematic reviews. Rev Saude Publica. 2020;54:66. doi: 10.11606/s1518-8787.2020054002342. Epub 2020 Jul 3. PMID: 32638885; PMCID: PMC7319499.</w:t>
      </w:r>
    </w:p>
  </w:endnote>
  <w:endnote w:id="38">
    <w:p w14:paraId="7AA60E2A" w14:textId="3848C00F" w:rsidR="00A35272" w:rsidRPr="00E33AD7" w:rsidRDefault="00A35272" w:rsidP="00947A09">
      <w:pPr>
        <w:spacing w:after="0"/>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w:t>
      </w:r>
      <w:r w:rsidRPr="00E33AD7">
        <w:rPr>
          <w:rFonts w:cstheme="minorHAnsi"/>
          <w:color w:val="212121"/>
          <w:sz w:val="24"/>
          <w:szCs w:val="24"/>
          <w:shd w:val="clear" w:color="auto" w:fill="FFFFFF"/>
        </w:rPr>
        <w:t>du Toit M, Malau-Aduli B, Vangaveti V, Sabesan S, Ray RA. Use of telehealth in the management of non-critical emergencies in rural or remote emergency departments: A systematic review. J Telemed Telecare. 2019 Jan;25(1):3-16. doi: 10.1177/1357633X17734239. Epub 2017 Oct 5. PMID: 28980853.</w:t>
      </w:r>
    </w:p>
  </w:endnote>
  <w:endnote w:id="39">
    <w:p w14:paraId="617A2C57" w14:textId="14CDDA9F" w:rsidR="00A35272" w:rsidRPr="00E33AD7" w:rsidRDefault="00A35272" w:rsidP="00947A09">
      <w:pPr>
        <w:spacing w:after="0"/>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w:t>
      </w:r>
      <w:r w:rsidRPr="00E33AD7">
        <w:rPr>
          <w:rFonts w:cstheme="minorHAnsi"/>
          <w:color w:val="212121"/>
          <w:sz w:val="24"/>
          <w:szCs w:val="24"/>
          <w:shd w:val="clear" w:color="auto" w:fill="FFFFFF"/>
        </w:rPr>
        <w:t>Felice J, Coughlin RF, Burns K, Chmura C, Bogucki S, Cone DC, Joseph D, Parwani V, Li F, Saxa T, Ulrich A. Effects of Real-time EMS Direction on Optimizing EMS Turnaround and Load-balancing Between Neighboring Hospital Campuses. Prehosp Emerg Care. 2019 Nov-Dec;23(6):788-794. doi: 10.1080/10903127.2019.1587123. Epub 2019 Mar 27. PMID: 30798628</w:t>
      </w:r>
    </w:p>
  </w:endnote>
  <w:endnote w:id="40">
    <w:p w14:paraId="1072598E" w14:textId="4A2E01D6" w:rsidR="00A35272" w:rsidRPr="00E33AD7" w:rsidRDefault="00A35272"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Centers for Disease Control and Prevention. Emergency Department Visits. https://www.cdc.gov/nchs/fastats/emergency-department.htm (2021).</w:t>
      </w:r>
    </w:p>
  </w:endnote>
  <w:endnote w:id="41">
    <w:p w14:paraId="7A17C63B" w14:textId="5B4804B7" w:rsidR="00A35272" w:rsidRPr="00E33AD7" w:rsidRDefault="00A35272"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ECQI Resource Center. Median Admit Decision Time to ED Departure Time for Admitted Patients.</w:t>
      </w:r>
    </w:p>
  </w:endnote>
  <w:endnote w:id="42">
    <w:p w14:paraId="2C7170F9" w14:textId="33DC1A0F" w:rsidR="00A35272" w:rsidRPr="00E33AD7" w:rsidRDefault="00A35272"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Yale New Haven Hospital Center for Outcomes Research &amp; Evaluation. Information Gathering Report for Equity of Care Capacity and Quality, Chapter 3, Deliverable #3-1. (2023).</w:t>
      </w:r>
    </w:p>
  </w:endnote>
  <w:endnote w:id="43">
    <w:p w14:paraId="12C13DA0" w14:textId="73EA4A56" w:rsidR="000868B2" w:rsidRPr="00E33AD7" w:rsidRDefault="000868B2"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Emergency Department Benchmarking Alliance. Preliminary 2022 Emergency Department Performance Measures Report. (2023).</w:t>
      </w:r>
    </w:p>
  </w:endnote>
  <w:endnote w:id="44">
    <w:p w14:paraId="71D1CBAC" w14:textId="3F112E3D" w:rsidR="000868B2" w:rsidRPr="00E33AD7" w:rsidRDefault="000868B2"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Roby, N. et al. Characteristics and retention of emergency department patients who left without being seen (LWBS). Intern. Emerg. Med. 17, 551–558 (2022).</w:t>
      </w:r>
    </w:p>
  </w:endnote>
  <w:endnote w:id="45">
    <w:p w14:paraId="628A922C" w14:textId="58CDE39C" w:rsidR="000868B2" w:rsidRPr="00E33AD7" w:rsidRDefault="000868B2"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Hodgins, M., Moore, N. &amp; Little, J. Those who opt to leave: Comparison by triage acuity of emergency patients who leave prior to seeing a medical practitioner. Int. Emerg. Nurs. 70, 101349 (2023).</w:t>
      </w:r>
    </w:p>
  </w:endnote>
  <w:endnote w:id="46">
    <w:p w14:paraId="01CD7058" w14:textId="42950A08" w:rsidR="0032122C" w:rsidRPr="00E33AD7" w:rsidRDefault="0032122C"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The Joint Commission. Patient Flow through the Emergency Department. https://www.jointcommission.org/-/media/tjc/documents/ standards/r3-reports/r3_report_issue_4.pdf</w:t>
      </w:r>
    </w:p>
  </w:endnote>
  <w:endnote w:id="47">
    <w:p w14:paraId="52D331A9" w14:textId="1C4361AB" w:rsidR="0032122C" w:rsidRPr="00E33AD7" w:rsidRDefault="0032122C"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Mohr, N. M. et al. Boarding of Critically Ill Patients in the Emergency Department. Crit. Care Med. 48, 1180–1187 (2020).</w:t>
      </w:r>
    </w:p>
  </w:endnote>
  <w:endnote w:id="48">
    <w:p w14:paraId="487806CD" w14:textId="61CF3AA2" w:rsidR="00845220" w:rsidRPr="00E33AD7" w:rsidRDefault="00845220"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Darraj, A., Hudays, A., Hazazi, A., Hobani, A. &amp; Alghamdi, A. The Association between Emergency Department Overcrowding and Delay in Treatment: A Systematic Review. Healthc. Basel Switz. 11, 385 (2023).</w:t>
      </w:r>
    </w:p>
  </w:endnote>
  <w:endnote w:id="49">
    <w:p w14:paraId="038AE179" w14:textId="2998F135" w:rsidR="00845220" w:rsidRPr="00E33AD7" w:rsidRDefault="00845220"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A&amp;E Waiting Times. https://www.nuffieldtrust.org.uk/resource/a-e-waiting-times#:~:text=Background,or%20discharged%20within%20four%20hours.</w:t>
      </w:r>
    </w:p>
  </w:endnote>
  <w:endnote w:id="50">
    <w:p w14:paraId="61D135A2" w14:textId="2EDD5D3C" w:rsidR="00845220" w:rsidRPr="00E33AD7" w:rsidRDefault="00845220"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Gruber, J., Hoe, T. P. &amp; Stoye, G. Saving Lives by Tying Hands: The Unexpected Effects of Constraining Health Care Providers. Rev. Econ. Stat. 105, 1–19 (2023).</w:t>
      </w:r>
    </w:p>
  </w:endnote>
  <w:endnote w:id="51">
    <w:p w14:paraId="265E118D" w14:textId="78D98032" w:rsidR="00845220" w:rsidRPr="00E33AD7" w:rsidRDefault="00845220"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Akhtar, N. et al. Prolonged Stay of Stroke Patients in the Emergency Department May Lead to an Increased Risk of Complications, Poor Recovery, and Increased Mortality. J. Stroke Cerebrovasc. Dis. 25, 672–678 (2016).</w:t>
      </w:r>
    </w:p>
  </w:endnote>
  <w:endnote w:id="52">
    <w:p w14:paraId="5EAD2D88" w14:textId="249A12AB" w:rsidR="00845220" w:rsidRPr="00E33AD7" w:rsidRDefault="00845220"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Steren, B., Fleming, M., Zhou, H., Zhang, Y. &amp; Pei, K. Y. Predictors of Delayed Emergency Department Throughput Among Blunt Trauma Patients. J. Surg. Res. 245, 81–88 (2020).</w:t>
      </w:r>
    </w:p>
  </w:endnote>
  <w:endnote w:id="53">
    <w:p w14:paraId="58B1D29A" w14:textId="6EB59BD0" w:rsidR="00947A09" w:rsidRPr="00E33AD7" w:rsidRDefault="00947A09"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Baia Medeiros, D. T., Hahn-Goldberg, S., O’Connor, E. &amp; Aleman, D. M. Analysis of emergency department length of stay for mental health visits: A case study of a Canadian academic hospital. CJEM 21, 374–383 (2019).</w:t>
      </w:r>
    </w:p>
  </w:endnote>
  <w:endnote w:id="54">
    <w:p w14:paraId="31C6F571" w14:textId="29681ADA" w:rsidR="00947A09" w:rsidRPr="00E33AD7" w:rsidRDefault="00947A09" w:rsidP="00947A09">
      <w:pPr>
        <w:pStyle w:val="EndnoteText"/>
        <w:rPr>
          <w:rFonts w:cstheme="minorHAnsi"/>
          <w:sz w:val="24"/>
          <w:szCs w:val="24"/>
        </w:rPr>
      </w:pPr>
      <w:r w:rsidRPr="00E33AD7">
        <w:rPr>
          <w:rStyle w:val="EndnoteReference"/>
          <w:rFonts w:cstheme="minorHAnsi"/>
          <w:sz w:val="24"/>
          <w:szCs w:val="24"/>
        </w:rPr>
        <w:endnoteRef/>
      </w:r>
      <w:r w:rsidRPr="00E33AD7">
        <w:rPr>
          <w:rFonts w:cstheme="minorHAnsi"/>
          <w:sz w:val="24"/>
          <w:szCs w:val="24"/>
        </w:rPr>
        <w:t xml:space="preserve"> Aysola, J. et al. Understanding Contributors to Racial/Ethnic Disparities in Emergency Department Throughput Times: a Sequential Mixed Methods Analysis. J. Gen. Intern. Med. 37, 341–350 (2022).</w:t>
      </w:r>
    </w:p>
  </w:endnote>
  <w:endnote w:id="55">
    <w:p w14:paraId="5217024B" w14:textId="525CAD09" w:rsidR="00947A09" w:rsidRPr="00947A09" w:rsidRDefault="00947A09" w:rsidP="00947A09">
      <w:pPr>
        <w:pStyle w:val="EndnoteText"/>
        <w:rPr>
          <w:rFonts w:cstheme="minorHAnsi"/>
        </w:rPr>
      </w:pPr>
      <w:r w:rsidRPr="00E33AD7">
        <w:rPr>
          <w:rStyle w:val="EndnoteReference"/>
          <w:rFonts w:cstheme="minorHAnsi"/>
          <w:sz w:val="24"/>
          <w:szCs w:val="24"/>
        </w:rPr>
        <w:endnoteRef/>
      </w:r>
      <w:r w:rsidRPr="00E33AD7">
        <w:rPr>
          <w:rFonts w:cstheme="minorHAnsi"/>
          <w:sz w:val="24"/>
          <w:szCs w:val="24"/>
        </w:rPr>
        <w:t xml:space="preserve"> Sangal, R. B. et al. Sociodemographic Disparities in Queue Jumping for Emergency Department Care. JAMA Netw. Open 6, e2326338 (2023).</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4F7DD2" w14:textId="5A0387CE" w:rsidR="00056C4C" w:rsidRPr="00DB3CC9" w:rsidRDefault="00056C4C" w:rsidP="00DB3CC9">
    <w:pPr>
      <w:pStyle w:val="Footer"/>
      <w:pBdr>
        <w:top w:val="thinThickSmallGap" w:sz="24" w:space="1" w:color="224E76"/>
      </w:pBdr>
      <w:rPr>
        <w:rFonts w:ascii="Calibri Light" w:hAnsi="Calibri Light"/>
      </w:rPr>
    </w:pPr>
    <w:r w:rsidRPr="00283155">
      <w:rPr>
        <w:rFonts w:ascii="Calibri Light" w:hAnsi="Calibri Light"/>
      </w:rPr>
      <w:tab/>
    </w:r>
    <w:r w:rsidRPr="00283155">
      <w:rPr>
        <w:rFonts w:ascii="Calibri Light" w:hAnsi="Calibri Light"/>
      </w:rPr>
      <w:tab/>
      <w:t xml:space="preserve">Page </w:t>
    </w:r>
    <w:r w:rsidRPr="00283155">
      <w:rPr>
        <w:rFonts w:ascii="Calibri Light" w:hAnsi="Calibri Light"/>
      </w:rPr>
      <w:fldChar w:fldCharType="begin"/>
    </w:r>
    <w:r w:rsidRPr="00283155">
      <w:rPr>
        <w:rFonts w:ascii="Calibri Light" w:hAnsi="Calibri Light"/>
      </w:rPr>
      <w:instrText xml:space="preserve"> PAGE   \* MERGEFORMAT </w:instrText>
    </w:r>
    <w:r w:rsidRPr="00283155">
      <w:rPr>
        <w:rFonts w:ascii="Calibri Light" w:hAnsi="Calibri Light"/>
      </w:rPr>
      <w:fldChar w:fldCharType="separate"/>
    </w:r>
    <w:r>
      <w:rPr>
        <w:rFonts w:ascii="Calibri Light" w:hAnsi="Calibri Light"/>
        <w:noProof/>
      </w:rPr>
      <w:t>20</w:t>
    </w:r>
    <w:r w:rsidRPr="00283155">
      <w:rPr>
        <w:rFonts w:ascii="Calibri Light" w:hAnsi="Calibri Light"/>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93D203" w14:textId="77777777" w:rsidR="002F25BA" w:rsidRDefault="002F25BA" w:rsidP="00794ABA">
      <w:pPr>
        <w:spacing w:after="0" w:line="240" w:lineRule="auto"/>
      </w:pPr>
      <w:r>
        <w:separator/>
      </w:r>
    </w:p>
  </w:footnote>
  <w:footnote w:type="continuationSeparator" w:id="0">
    <w:p w14:paraId="44DEDB4D" w14:textId="77777777" w:rsidR="002F25BA" w:rsidRDefault="002F25BA" w:rsidP="00794ABA">
      <w:pPr>
        <w:spacing w:after="0" w:line="240" w:lineRule="auto"/>
      </w:pPr>
      <w:r>
        <w:continuationSeparator/>
      </w:r>
    </w:p>
  </w:footnote>
  <w:footnote w:type="continuationNotice" w:id="1">
    <w:p w14:paraId="119C64A7" w14:textId="77777777" w:rsidR="002F25BA" w:rsidRDefault="002F25B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6B6147"/>
    <w:multiLevelType w:val="multilevel"/>
    <w:tmpl w:val="52DE7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0285619"/>
    <w:multiLevelType w:val="multilevel"/>
    <w:tmpl w:val="6CDA5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5FC5CFB"/>
    <w:multiLevelType w:val="hybridMultilevel"/>
    <w:tmpl w:val="3CA6354E"/>
    <w:lvl w:ilvl="0" w:tplc="7D3A81C6">
      <w:start w:val="1"/>
      <w:numFmt w:val="bullet"/>
      <w:pStyle w:val="ListBullet"/>
      <w:lvlText w:val=""/>
      <w:lvlJc w:val="left"/>
      <w:pPr>
        <w:ind w:left="720" w:hanging="360"/>
      </w:pPr>
      <w:rPr>
        <w:rFonts w:ascii="Symbol" w:hAnsi="Symbol" w:hint="default"/>
        <w:color w:val="4472C4" w:themeColor="accent1"/>
      </w:rPr>
    </w:lvl>
    <w:lvl w:ilvl="1" w:tplc="9D0A1FA6">
      <w:start w:val="1"/>
      <w:numFmt w:val="bullet"/>
      <w:pStyle w:val="ListBullet2"/>
      <w:lvlText w:val="o"/>
      <w:lvlJc w:val="left"/>
      <w:pPr>
        <w:ind w:left="1080" w:hanging="360"/>
      </w:pPr>
      <w:rPr>
        <w:rFonts w:ascii="Symbol" w:hAnsi="Symbol" w:cs="Courier New" w:hint="default"/>
      </w:rPr>
    </w:lvl>
    <w:lvl w:ilvl="2" w:tplc="04090005">
      <w:start w:val="1"/>
      <w:numFmt w:val="bullet"/>
      <w:pStyle w:val="ListBullet3"/>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FC66C18"/>
    <w:multiLevelType w:val="hybridMultilevel"/>
    <w:tmpl w:val="D9C05C3C"/>
    <w:lvl w:ilvl="0" w:tplc="E7B47B90">
      <w:start w:val="1"/>
      <w:numFmt w:val="decimal"/>
      <w:lvlText w:val="%1."/>
      <w:lvlJc w:val="left"/>
      <w:pPr>
        <w:ind w:left="720" w:hanging="360"/>
      </w:pPr>
      <w:rPr>
        <w:i w:val="0"/>
        <w:iCs w:val="0"/>
      </w:rPr>
    </w:lvl>
    <w:lvl w:ilvl="1" w:tplc="53461E6A">
      <w:start w:val="2"/>
      <w:numFmt w:val="bullet"/>
      <w:lvlText w:val=""/>
      <w:lvlJc w:val="left"/>
      <w:pPr>
        <w:ind w:left="1440" w:hanging="360"/>
      </w:pPr>
      <w:rPr>
        <w:rFonts w:ascii="Symbol" w:eastAsiaTheme="minorHAnsi" w:hAnsi="Symbol" w:cstheme="minorBidi" w:hint="default"/>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FB7FF8"/>
    <w:multiLevelType w:val="hybridMultilevel"/>
    <w:tmpl w:val="3A3C82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3F7F62"/>
    <w:multiLevelType w:val="hybridMultilevel"/>
    <w:tmpl w:val="61127E4E"/>
    <w:lvl w:ilvl="0" w:tplc="33186AC8">
      <w:start w:val="50"/>
      <w:numFmt w:val="bullet"/>
      <w:lvlText w:val="-"/>
      <w:lvlJc w:val="left"/>
      <w:pPr>
        <w:ind w:left="720" w:hanging="360"/>
      </w:pPr>
      <w:rPr>
        <w:rFonts w:ascii="Aptos" w:eastAsiaTheme="minorHAnsi" w:hAnsi="Apto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527D8F3B"/>
    <w:multiLevelType w:val="hybridMultilevel"/>
    <w:tmpl w:val="F8765104"/>
    <w:lvl w:ilvl="0" w:tplc="9AB0E700">
      <w:start w:val="1"/>
      <w:numFmt w:val="bullet"/>
      <w:lvlText w:val=""/>
      <w:lvlJc w:val="left"/>
      <w:pPr>
        <w:ind w:left="706" w:hanging="360"/>
      </w:pPr>
      <w:rPr>
        <w:rFonts w:ascii="Symbol" w:hAnsi="Symbol" w:hint="default"/>
      </w:rPr>
    </w:lvl>
    <w:lvl w:ilvl="1" w:tplc="91084F4C">
      <w:start w:val="1"/>
      <w:numFmt w:val="bullet"/>
      <w:lvlText w:val="o"/>
      <w:lvlJc w:val="left"/>
      <w:pPr>
        <w:ind w:left="1440" w:hanging="360"/>
      </w:pPr>
      <w:rPr>
        <w:rFonts w:ascii="Courier New" w:hAnsi="Courier New" w:hint="default"/>
      </w:rPr>
    </w:lvl>
    <w:lvl w:ilvl="2" w:tplc="ABCA0D94">
      <w:start w:val="1"/>
      <w:numFmt w:val="bullet"/>
      <w:lvlText w:val=""/>
      <w:lvlJc w:val="left"/>
      <w:pPr>
        <w:ind w:left="2160" w:hanging="360"/>
      </w:pPr>
      <w:rPr>
        <w:rFonts w:ascii="Wingdings" w:hAnsi="Wingdings" w:hint="default"/>
      </w:rPr>
    </w:lvl>
    <w:lvl w:ilvl="3" w:tplc="6C5205BA">
      <w:start w:val="1"/>
      <w:numFmt w:val="bullet"/>
      <w:lvlText w:val=""/>
      <w:lvlJc w:val="left"/>
      <w:pPr>
        <w:ind w:left="2880" w:hanging="360"/>
      </w:pPr>
      <w:rPr>
        <w:rFonts w:ascii="Symbol" w:hAnsi="Symbol" w:hint="default"/>
      </w:rPr>
    </w:lvl>
    <w:lvl w:ilvl="4" w:tplc="1CB8094C">
      <w:start w:val="1"/>
      <w:numFmt w:val="bullet"/>
      <w:lvlText w:val="o"/>
      <w:lvlJc w:val="left"/>
      <w:pPr>
        <w:ind w:left="3600" w:hanging="360"/>
      </w:pPr>
      <w:rPr>
        <w:rFonts w:ascii="Courier New" w:hAnsi="Courier New" w:hint="default"/>
      </w:rPr>
    </w:lvl>
    <w:lvl w:ilvl="5" w:tplc="0C50B260">
      <w:start w:val="1"/>
      <w:numFmt w:val="bullet"/>
      <w:lvlText w:val=""/>
      <w:lvlJc w:val="left"/>
      <w:pPr>
        <w:ind w:left="4320" w:hanging="360"/>
      </w:pPr>
      <w:rPr>
        <w:rFonts w:ascii="Wingdings" w:hAnsi="Wingdings" w:hint="default"/>
      </w:rPr>
    </w:lvl>
    <w:lvl w:ilvl="6" w:tplc="B12430F6">
      <w:start w:val="1"/>
      <w:numFmt w:val="bullet"/>
      <w:lvlText w:val=""/>
      <w:lvlJc w:val="left"/>
      <w:pPr>
        <w:ind w:left="5040" w:hanging="360"/>
      </w:pPr>
      <w:rPr>
        <w:rFonts w:ascii="Symbol" w:hAnsi="Symbol" w:hint="default"/>
      </w:rPr>
    </w:lvl>
    <w:lvl w:ilvl="7" w:tplc="BA5C0E9E">
      <w:start w:val="1"/>
      <w:numFmt w:val="bullet"/>
      <w:lvlText w:val="o"/>
      <w:lvlJc w:val="left"/>
      <w:pPr>
        <w:ind w:left="5760" w:hanging="360"/>
      </w:pPr>
      <w:rPr>
        <w:rFonts w:ascii="Courier New" w:hAnsi="Courier New" w:hint="default"/>
      </w:rPr>
    </w:lvl>
    <w:lvl w:ilvl="8" w:tplc="2FA2E6DE">
      <w:start w:val="1"/>
      <w:numFmt w:val="bullet"/>
      <w:lvlText w:val=""/>
      <w:lvlJc w:val="left"/>
      <w:pPr>
        <w:ind w:left="6480" w:hanging="360"/>
      </w:pPr>
      <w:rPr>
        <w:rFonts w:ascii="Wingdings" w:hAnsi="Wingdings" w:hint="default"/>
      </w:rPr>
    </w:lvl>
  </w:abstractNum>
  <w:abstractNum w:abstractNumId="7" w15:restartNumberingAfterBreak="0">
    <w:nsid w:val="5BA75791"/>
    <w:multiLevelType w:val="multilevel"/>
    <w:tmpl w:val="578E4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1B073CE"/>
    <w:multiLevelType w:val="hybridMultilevel"/>
    <w:tmpl w:val="FEE8A0C8"/>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9" w15:restartNumberingAfterBreak="0">
    <w:nsid w:val="6E2B47E7"/>
    <w:multiLevelType w:val="hybridMultilevel"/>
    <w:tmpl w:val="5DBEA7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0D7330B"/>
    <w:multiLevelType w:val="multilevel"/>
    <w:tmpl w:val="C7CEBB36"/>
    <w:lvl w:ilvl="0">
      <w:start w:val="1"/>
      <w:numFmt w:val="decimal"/>
      <w:pStyle w:val="Heading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ACA5CB4"/>
    <w:multiLevelType w:val="hybridMultilevel"/>
    <w:tmpl w:val="3A84518A"/>
    <w:lvl w:ilvl="0" w:tplc="81E228E0">
      <w:start w:val="1"/>
      <w:numFmt w:val="bullet"/>
      <w:lvlText w:val=""/>
      <w:lvlJc w:val="left"/>
      <w:pPr>
        <w:ind w:left="706" w:hanging="360"/>
      </w:pPr>
      <w:rPr>
        <w:rFonts w:ascii="Symbol" w:hAnsi="Symbol" w:hint="default"/>
      </w:rPr>
    </w:lvl>
    <w:lvl w:ilvl="1" w:tplc="8624A482">
      <w:start w:val="1"/>
      <w:numFmt w:val="bullet"/>
      <w:lvlText w:val="o"/>
      <w:lvlJc w:val="left"/>
      <w:pPr>
        <w:ind w:left="1440" w:hanging="360"/>
      </w:pPr>
      <w:rPr>
        <w:rFonts w:ascii="Courier New" w:hAnsi="Courier New" w:hint="default"/>
      </w:rPr>
    </w:lvl>
    <w:lvl w:ilvl="2" w:tplc="76BEBC60">
      <w:start w:val="1"/>
      <w:numFmt w:val="bullet"/>
      <w:lvlText w:val=""/>
      <w:lvlJc w:val="left"/>
      <w:pPr>
        <w:ind w:left="2160" w:hanging="360"/>
      </w:pPr>
      <w:rPr>
        <w:rFonts w:ascii="Wingdings" w:hAnsi="Wingdings" w:hint="default"/>
      </w:rPr>
    </w:lvl>
    <w:lvl w:ilvl="3" w:tplc="4538C874">
      <w:start w:val="1"/>
      <w:numFmt w:val="bullet"/>
      <w:lvlText w:val=""/>
      <w:lvlJc w:val="left"/>
      <w:pPr>
        <w:ind w:left="2880" w:hanging="360"/>
      </w:pPr>
      <w:rPr>
        <w:rFonts w:ascii="Symbol" w:hAnsi="Symbol" w:hint="default"/>
      </w:rPr>
    </w:lvl>
    <w:lvl w:ilvl="4" w:tplc="7D8855EE">
      <w:start w:val="1"/>
      <w:numFmt w:val="bullet"/>
      <w:lvlText w:val="o"/>
      <w:lvlJc w:val="left"/>
      <w:pPr>
        <w:ind w:left="3600" w:hanging="360"/>
      </w:pPr>
      <w:rPr>
        <w:rFonts w:ascii="Courier New" w:hAnsi="Courier New" w:hint="default"/>
      </w:rPr>
    </w:lvl>
    <w:lvl w:ilvl="5" w:tplc="DEF02CFC">
      <w:start w:val="1"/>
      <w:numFmt w:val="bullet"/>
      <w:lvlText w:val=""/>
      <w:lvlJc w:val="left"/>
      <w:pPr>
        <w:ind w:left="4320" w:hanging="360"/>
      </w:pPr>
      <w:rPr>
        <w:rFonts w:ascii="Wingdings" w:hAnsi="Wingdings" w:hint="default"/>
      </w:rPr>
    </w:lvl>
    <w:lvl w:ilvl="6" w:tplc="2D7AE724">
      <w:start w:val="1"/>
      <w:numFmt w:val="bullet"/>
      <w:lvlText w:val=""/>
      <w:lvlJc w:val="left"/>
      <w:pPr>
        <w:ind w:left="5040" w:hanging="360"/>
      </w:pPr>
      <w:rPr>
        <w:rFonts w:ascii="Symbol" w:hAnsi="Symbol" w:hint="default"/>
      </w:rPr>
    </w:lvl>
    <w:lvl w:ilvl="7" w:tplc="10029A88">
      <w:start w:val="1"/>
      <w:numFmt w:val="bullet"/>
      <w:lvlText w:val="o"/>
      <w:lvlJc w:val="left"/>
      <w:pPr>
        <w:ind w:left="5760" w:hanging="360"/>
      </w:pPr>
      <w:rPr>
        <w:rFonts w:ascii="Courier New" w:hAnsi="Courier New" w:hint="default"/>
      </w:rPr>
    </w:lvl>
    <w:lvl w:ilvl="8" w:tplc="E8B02D92">
      <w:start w:val="1"/>
      <w:numFmt w:val="bullet"/>
      <w:lvlText w:val=""/>
      <w:lvlJc w:val="left"/>
      <w:pPr>
        <w:ind w:left="6480" w:hanging="360"/>
      </w:pPr>
      <w:rPr>
        <w:rFonts w:ascii="Wingdings" w:hAnsi="Wingdings" w:hint="default"/>
      </w:rPr>
    </w:lvl>
  </w:abstractNum>
  <w:abstractNum w:abstractNumId="12" w15:restartNumberingAfterBreak="0">
    <w:nsid w:val="7F4FBF47"/>
    <w:multiLevelType w:val="hybridMultilevel"/>
    <w:tmpl w:val="7FD482A2"/>
    <w:lvl w:ilvl="0" w:tplc="100258DE">
      <w:start w:val="1"/>
      <w:numFmt w:val="bullet"/>
      <w:lvlText w:val="·"/>
      <w:lvlJc w:val="left"/>
      <w:pPr>
        <w:ind w:left="720" w:hanging="360"/>
      </w:pPr>
      <w:rPr>
        <w:rFonts w:ascii="Symbol" w:hAnsi="Symbol" w:hint="default"/>
      </w:rPr>
    </w:lvl>
    <w:lvl w:ilvl="1" w:tplc="C79E98B2">
      <w:start w:val="1"/>
      <w:numFmt w:val="bullet"/>
      <w:lvlText w:val="o"/>
      <w:lvlJc w:val="left"/>
      <w:pPr>
        <w:ind w:left="1440" w:hanging="360"/>
      </w:pPr>
      <w:rPr>
        <w:rFonts w:ascii="Courier New" w:hAnsi="Courier New" w:hint="default"/>
      </w:rPr>
    </w:lvl>
    <w:lvl w:ilvl="2" w:tplc="534A9B42">
      <w:start w:val="1"/>
      <w:numFmt w:val="bullet"/>
      <w:lvlText w:val=""/>
      <w:lvlJc w:val="left"/>
      <w:pPr>
        <w:ind w:left="2160" w:hanging="360"/>
      </w:pPr>
      <w:rPr>
        <w:rFonts w:ascii="Wingdings" w:hAnsi="Wingdings" w:hint="default"/>
      </w:rPr>
    </w:lvl>
    <w:lvl w:ilvl="3" w:tplc="AE5EC382">
      <w:start w:val="1"/>
      <w:numFmt w:val="bullet"/>
      <w:lvlText w:val=""/>
      <w:lvlJc w:val="left"/>
      <w:pPr>
        <w:ind w:left="2880" w:hanging="360"/>
      </w:pPr>
      <w:rPr>
        <w:rFonts w:ascii="Symbol" w:hAnsi="Symbol" w:hint="default"/>
      </w:rPr>
    </w:lvl>
    <w:lvl w:ilvl="4" w:tplc="C51C5016">
      <w:start w:val="1"/>
      <w:numFmt w:val="bullet"/>
      <w:lvlText w:val="o"/>
      <w:lvlJc w:val="left"/>
      <w:pPr>
        <w:ind w:left="3600" w:hanging="360"/>
      </w:pPr>
      <w:rPr>
        <w:rFonts w:ascii="Courier New" w:hAnsi="Courier New" w:hint="default"/>
      </w:rPr>
    </w:lvl>
    <w:lvl w:ilvl="5" w:tplc="C536316A">
      <w:start w:val="1"/>
      <w:numFmt w:val="bullet"/>
      <w:lvlText w:val=""/>
      <w:lvlJc w:val="left"/>
      <w:pPr>
        <w:ind w:left="4320" w:hanging="360"/>
      </w:pPr>
      <w:rPr>
        <w:rFonts w:ascii="Wingdings" w:hAnsi="Wingdings" w:hint="default"/>
      </w:rPr>
    </w:lvl>
    <w:lvl w:ilvl="6" w:tplc="10F85E60">
      <w:start w:val="1"/>
      <w:numFmt w:val="bullet"/>
      <w:lvlText w:val=""/>
      <w:lvlJc w:val="left"/>
      <w:pPr>
        <w:ind w:left="5040" w:hanging="360"/>
      </w:pPr>
      <w:rPr>
        <w:rFonts w:ascii="Symbol" w:hAnsi="Symbol" w:hint="default"/>
      </w:rPr>
    </w:lvl>
    <w:lvl w:ilvl="7" w:tplc="0F86FC7E">
      <w:start w:val="1"/>
      <w:numFmt w:val="bullet"/>
      <w:lvlText w:val="o"/>
      <w:lvlJc w:val="left"/>
      <w:pPr>
        <w:ind w:left="5760" w:hanging="360"/>
      </w:pPr>
      <w:rPr>
        <w:rFonts w:ascii="Courier New" w:hAnsi="Courier New" w:hint="default"/>
      </w:rPr>
    </w:lvl>
    <w:lvl w:ilvl="8" w:tplc="258E0258">
      <w:start w:val="1"/>
      <w:numFmt w:val="bullet"/>
      <w:lvlText w:val=""/>
      <w:lvlJc w:val="left"/>
      <w:pPr>
        <w:ind w:left="6480" w:hanging="360"/>
      </w:pPr>
      <w:rPr>
        <w:rFonts w:ascii="Wingdings" w:hAnsi="Wingdings" w:hint="default"/>
      </w:rPr>
    </w:lvl>
  </w:abstractNum>
  <w:num w:numId="1" w16cid:durableId="587927887">
    <w:abstractNumId w:val="6"/>
  </w:num>
  <w:num w:numId="2" w16cid:durableId="1784641987">
    <w:abstractNumId w:val="2"/>
  </w:num>
  <w:num w:numId="3" w16cid:durableId="50539343">
    <w:abstractNumId w:val="10"/>
  </w:num>
  <w:num w:numId="4" w16cid:durableId="1047486281">
    <w:abstractNumId w:val="3"/>
  </w:num>
  <w:num w:numId="5" w16cid:durableId="1759861723">
    <w:abstractNumId w:val="9"/>
  </w:num>
  <w:num w:numId="6" w16cid:durableId="1730155168">
    <w:abstractNumId w:val="1"/>
  </w:num>
  <w:num w:numId="7" w16cid:durableId="822888819">
    <w:abstractNumId w:val="0"/>
  </w:num>
  <w:num w:numId="8" w16cid:durableId="1487210358">
    <w:abstractNumId w:val="7"/>
  </w:num>
  <w:num w:numId="9" w16cid:durableId="491485519">
    <w:abstractNumId w:val="4"/>
  </w:num>
  <w:num w:numId="10" w16cid:durableId="1436638302">
    <w:abstractNumId w:val="5"/>
  </w:num>
  <w:num w:numId="11" w16cid:durableId="559632705">
    <w:abstractNumId w:val="8"/>
  </w:num>
  <w:num w:numId="12" w16cid:durableId="19740495">
    <w:abstractNumId w:val="11"/>
  </w:num>
  <w:num w:numId="13" w16cid:durableId="335965398">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ABA"/>
    <w:rsid w:val="000007B8"/>
    <w:rsid w:val="00000BDE"/>
    <w:rsid w:val="000015E5"/>
    <w:rsid w:val="00001BB3"/>
    <w:rsid w:val="00003D79"/>
    <w:rsid w:val="0000452F"/>
    <w:rsid w:val="0000461F"/>
    <w:rsid w:val="000049C8"/>
    <w:rsid w:val="00006745"/>
    <w:rsid w:val="0000725B"/>
    <w:rsid w:val="000101DE"/>
    <w:rsid w:val="000101E7"/>
    <w:rsid w:val="00012593"/>
    <w:rsid w:val="00013DB0"/>
    <w:rsid w:val="000150B4"/>
    <w:rsid w:val="000158B2"/>
    <w:rsid w:val="00016409"/>
    <w:rsid w:val="00016785"/>
    <w:rsid w:val="00017F9F"/>
    <w:rsid w:val="00020274"/>
    <w:rsid w:val="000235B8"/>
    <w:rsid w:val="000249F3"/>
    <w:rsid w:val="000271B2"/>
    <w:rsid w:val="00030614"/>
    <w:rsid w:val="00030C2F"/>
    <w:rsid w:val="00030C48"/>
    <w:rsid w:val="00030FA6"/>
    <w:rsid w:val="00031F0F"/>
    <w:rsid w:val="0003217C"/>
    <w:rsid w:val="00032AFF"/>
    <w:rsid w:val="00032CFA"/>
    <w:rsid w:val="00033DF2"/>
    <w:rsid w:val="000344D8"/>
    <w:rsid w:val="00040248"/>
    <w:rsid w:val="000407DC"/>
    <w:rsid w:val="00040B57"/>
    <w:rsid w:val="00051AC2"/>
    <w:rsid w:val="00052B5A"/>
    <w:rsid w:val="000532BC"/>
    <w:rsid w:val="000538DD"/>
    <w:rsid w:val="00055886"/>
    <w:rsid w:val="00056030"/>
    <w:rsid w:val="00056C4C"/>
    <w:rsid w:val="000578C5"/>
    <w:rsid w:val="000601DC"/>
    <w:rsid w:val="00061D0C"/>
    <w:rsid w:val="00061E1C"/>
    <w:rsid w:val="000624DF"/>
    <w:rsid w:val="00062C57"/>
    <w:rsid w:val="000669B9"/>
    <w:rsid w:val="000708CC"/>
    <w:rsid w:val="00072788"/>
    <w:rsid w:val="00073D0F"/>
    <w:rsid w:val="00074AB2"/>
    <w:rsid w:val="00075BE2"/>
    <w:rsid w:val="00077495"/>
    <w:rsid w:val="000868B2"/>
    <w:rsid w:val="00087916"/>
    <w:rsid w:val="000906A1"/>
    <w:rsid w:val="00090B37"/>
    <w:rsid w:val="00091004"/>
    <w:rsid w:val="000925BB"/>
    <w:rsid w:val="000955D1"/>
    <w:rsid w:val="00097711"/>
    <w:rsid w:val="000978C9"/>
    <w:rsid w:val="000A1713"/>
    <w:rsid w:val="000A2AD8"/>
    <w:rsid w:val="000A53A2"/>
    <w:rsid w:val="000A5F32"/>
    <w:rsid w:val="000A627F"/>
    <w:rsid w:val="000A646E"/>
    <w:rsid w:val="000B17E9"/>
    <w:rsid w:val="000B248A"/>
    <w:rsid w:val="000B3595"/>
    <w:rsid w:val="000B4A02"/>
    <w:rsid w:val="000B538A"/>
    <w:rsid w:val="000B736D"/>
    <w:rsid w:val="000B7702"/>
    <w:rsid w:val="000B7CBD"/>
    <w:rsid w:val="000C0904"/>
    <w:rsid w:val="000C140A"/>
    <w:rsid w:val="000C316A"/>
    <w:rsid w:val="000C4212"/>
    <w:rsid w:val="000C43C8"/>
    <w:rsid w:val="000C67A9"/>
    <w:rsid w:val="000C7CDB"/>
    <w:rsid w:val="000D1A86"/>
    <w:rsid w:val="000D4958"/>
    <w:rsid w:val="000D6017"/>
    <w:rsid w:val="000D6638"/>
    <w:rsid w:val="000D7903"/>
    <w:rsid w:val="000E248E"/>
    <w:rsid w:val="000E417F"/>
    <w:rsid w:val="000E4683"/>
    <w:rsid w:val="000E4DE5"/>
    <w:rsid w:val="000E5E49"/>
    <w:rsid w:val="000E6D2B"/>
    <w:rsid w:val="000E7CEA"/>
    <w:rsid w:val="000F0911"/>
    <w:rsid w:val="000F121C"/>
    <w:rsid w:val="000F1F9A"/>
    <w:rsid w:val="000F2622"/>
    <w:rsid w:val="000F3D11"/>
    <w:rsid w:val="000F3F68"/>
    <w:rsid w:val="000F5DCC"/>
    <w:rsid w:val="00100790"/>
    <w:rsid w:val="001020FC"/>
    <w:rsid w:val="001036B7"/>
    <w:rsid w:val="0010452B"/>
    <w:rsid w:val="00106036"/>
    <w:rsid w:val="001064D4"/>
    <w:rsid w:val="00106B0C"/>
    <w:rsid w:val="0011116D"/>
    <w:rsid w:val="00111591"/>
    <w:rsid w:val="001117A1"/>
    <w:rsid w:val="0011185D"/>
    <w:rsid w:val="00111E20"/>
    <w:rsid w:val="00112D5D"/>
    <w:rsid w:val="00114CC3"/>
    <w:rsid w:val="00117B70"/>
    <w:rsid w:val="00117CCC"/>
    <w:rsid w:val="00126F95"/>
    <w:rsid w:val="00134D2F"/>
    <w:rsid w:val="001362FF"/>
    <w:rsid w:val="00140D67"/>
    <w:rsid w:val="00141B9B"/>
    <w:rsid w:val="00142218"/>
    <w:rsid w:val="00145321"/>
    <w:rsid w:val="00146BA6"/>
    <w:rsid w:val="00146C14"/>
    <w:rsid w:val="0015135C"/>
    <w:rsid w:val="00152270"/>
    <w:rsid w:val="00152323"/>
    <w:rsid w:val="00153ABD"/>
    <w:rsid w:val="00154222"/>
    <w:rsid w:val="001542CA"/>
    <w:rsid w:val="00154F9B"/>
    <w:rsid w:val="00155882"/>
    <w:rsid w:val="00155A9E"/>
    <w:rsid w:val="00155F45"/>
    <w:rsid w:val="00156198"/>
    <w:rsid w:val="001573C8"/>
    <w:rsid w:val="00157CA8"/>
    <w:rsid w:val="00163A92"/>
    <w:rsid w:val="00166732"/>
    <w:rsid w:val="001705D4"/>
    <w:rsid w:val="001707D1"/>
    <w:rsid w:val="00170BDA"/>
    <w:rsid w:val="00173785"/>
    <w:rsid w:val="00174B41"/>
    <w:rsid w:val="00176550"/>
    <w:rsid w:val="001769A7"/>
    <w:rsid w:val="0018049A"/>
    <w:rsid w:val="00181702"/>
    <w:rsid w:val="00181BD8"/>
    <w:rsid w:val="00182AD0"/>
    <w:rsid w:val="00183CBE"/>
    <w:rsid w:val="00187260"/>
    <w:rsid w:val="0019089D"/>
    <w:rsid w:val="00191B7C"/>
    <w:rsid w:val="00191EEF"/>
    <w:rsid w:val="0019695C"/>
    <w:rsid w:val="00196C68"/>
    <w:rsid w:val="001976FA"/>
    <w:rsid w:val="001A00CE"/>
    <w:rsid w:val="001A23DD"/>
    <w:rsid w:val="001A4711"/>
    <w:rsid w:val="001A4E2A"/>
    <w:rsid w:val="001A54C2"/>
    <w:rsid w:val="001A577B"/>
    <w:rsid w:val="001A6B19"/>
    <w:rsid w:val="001A7BCE"/>
    <w:rsid w:val="001A7D07"/>
    <w:rsid w:val="001B0E02"/>
    <w:rsid w:val="001B11DE"/>
    <w:rsid w:val="001B1CA9"/>
    <w:rsid w:val="001B2CEF"/>
    <w:rsid w:val="001B4049"/>
    <w:rsid w:val="001B58B0"/>
    <w:rsid w:val="001B5EB4"/>
    <w:rsid w:val="001B633D"/>
    <w:rsid w:val="001B6C03"/>
    <w:rsid w:val="001B6EAF"/>
    <w:rsid w:val="001B71C6"/>
    <w:rsid w:val="001C0C24"/>
    <w:rsid w:val="001C49B1"/>
    <w:rsid w:val="001C7B4A"/>
    <w:rsid w:val="001C7DE8"/>
    <w:rsid w:val="001D129D"/>
    <w:rsid w:val="001D2277"/>
    <w:rsid w:val="001D22D0"/>
    <w:rsid w:val="001D24BC"/>
    <w:rsid w:val="001D3862"/>
    <w:rsid w:val="001D4196"/>
    <w:rsid w:val="001D4260"/>
    <w:rsid w:val="001D6B01"/>
    <w:rsid w:val="001D781F"/>
    <w:rsid w:val="001E0328"/>
    <w:rsid w:val="001E04DC"/>
    <w:rsid w:val="001E2901"/>
    <w:rsid w:val="001E4ABA"/>
    <w:rsid w:val="001E53C7"/>
    <w:rsid w:val="001E635B"/>
    <w:rsid w:val="001E66E2"/>
    <w:rsid w:val="001E75EB"/>
    <w:rsid w:val="001E7678"/>
    <w:rsid w:val="001E7AC4"/>
    <w:rsid w:val="001F1560"/>
    <w:rsid w:val="002003B4"/>
    <w:rsid w:val="002003D8"/>
    <w:rsid w:val="00202C6A"/>
    <w:rsid w:val="0020390B"/>
    <w:rsid w:val="00205A4D"/>
    <w:rsid w:val="00211553"/>
    <w:rsid w:val="002129A5"/>
    <w:rsid w:val="00212EC5"/>
    <w:rsid w:val="002136E4"/>
    <w:rsid w:val="00215BBD"/>
    <w:rsid w:val="00217104"/>
    <w:rsid w:val="00217F24"/>
    <w:rsid w:val="00221223"/>
    <w:rsid w:val="0022145B"/>
    <w:rsid w:val="0022282D"/>
    <w:rsid w:val="00222994"/>
    <w:rsid w:val="00222E91"/>
    <w:rsid w:val="002312A4"/>
    <w:rsid w:val="00231651"/>
    <w:rsid w:val="0023298B"/>
    <w:rsid w:val="00232A9A"/>
    <w:rsid w:val="00232D3F"/>
    <w:rsid w:val="00235925"/>
    <w:rsid w:val="00237BE7"/>
    <w:rsid w:val="00237D3B"/>
    <w:rsid w:val="00237FE9"/>
    <w:rsid w:val="00242A93"/>
    <w:rsid w:val="00243480"/>
    <w:rsid w:val="00243549"/>
    <w:rsid w:val="00244A97"/>
    <w:rsid w:val="00245F07"/>
    <w:rsid w:val="00251168"/>
    <w:rsid w:val="002514F4"/>
    <w:rsid w:val="00252CC5"/>
    <w:rsid w:val="00253CD9"/>
    <w:rsid w:val="00254961"/>
    <w:rsid w:val="0025529C"/>
    <w:rsid w:val="00262309"/>
    <w:rsid w:val="00262671"/>
    <w:rsid w:val="002636ED"/>
    <w:rsid w:val="00265256"/>
    <w:rsid w:val="002662DF"/>
    <w:rsid w:val="00266B1E"/>
    <w:rsid w:val="00267016"/>
    <w:rsid w:val="002704CB"/>
    <w:rsid w:val="00270A3C"/>
    <w:rsid w:val="00274CA9"/>
    <w:rsid w:val="00275501"/>
    <w:rsid w:val="00275B09"/>
    <w:rsid w:val="00275BBD"/>
    <w:rsid w:val="00275D8F"/>
    <w:rsid w:val="00282B6C"/>
    <w:rsid w:val="00285C02"/>
    <w:rsid w:val="00287D59"/>
    <w:rsid w:val="00287F40"/>
    <w:rsid w:val="00287F66"/>
    <w:rsid w:val="00287FA4"/>
    <w:rsid w:val="002925A7"/>
    <w:rsid w:val="0029679D"/>
    <w:rsid w:val="00297A72"/>
    <w:rsid w:val="00297F0F"/>
    <w:rsid w:val="002A06A8"/>
    <w:rsid w:val="002A0A9F"/>
    <w:rsid w:val="002A1B34"/>
    <w:rsid w:val="002A7A9C"/>
    <w:rsid w:val="002A7CD8"/>
    <w:rsid w:val="002A7F42"/>
    <w:rsid w:val="002B2FAD"/>
    <w:rsid w:val="002B49AD"/>
    <w:rsid w:val="002B7785"/>
    <w:rsid w:val="002B7F7E"/>
    <w:rsid w:val="002C0D38"/>
    <w:rsid w:val="002C1695"/>
    <w:rsid w:val="002C17CC"/>
    <w:rsid w:val="002C1B51"/>
    <w:rsid w:val="002D08AC"/>
    <w:rsid w:val="002D12CC"/>
    <w:rsid w:val="002D391A"/>
    <w:rsid w:val="002D4537"/>
    <w:rsid w:val="002D4992"/>
    <w:rsid w:val="002D568A"/>
    <w:rsid w:val="002D670D"/>
    <w:rsid w:val="002E02C3"/>
    <w:rsid w:val="002E1771"/>
    <w:rsid w:val="002E3845"/>
    <w:rsid w:val="002E464E"/>
    <w:rsid w:val="002E4FFC"/>
    <w:rsid w:val="002E7381"/>
    <w:rsid w:val="002F25BA"/>
    <w:rsid w:val="002F36AC"/>
    <w:rsid w:val="00300F1C"/>
    <w:rsid w:val="003018D9"/>
    <w:rsid w:val="00301A29"/>
    <w:rsid w:val="00302984"/>
    <w:rsid w:val="00303507"/>
    <w:rsid w:val="003103BE"/>
    <w:rsid w:val="00312412"/>
    <w:rsid w:val="003124FD"/>
    <w:rsid w:val="00312C41"/>
    <w:rsid w:val="00314614"/>
    <w:rsid w:val="003166C1"/>
    <w:rsid w:val="0031671F"/>
    <w:rsid w:val="003179EF"/>
    <w:rsid w:val="0032122C"/>
    <w:rsid w:val="00321DAB"/>
    <w:rsid w:val="003221C7"/>
    <w:rsid w:val="0032261D"/>
    <w:rsid w:val="003237B3"/>
    <w:rsid w:val="0032395E"/>
    <w:rsid w:val="00323A9B"/>
    <w:rsid w:val="0032632C"/>
    <w:rsid w:val="00327191"/>
    <w:rsid w:val="003315BB"/>
    <w:rsid w:val="00331DAB"/>
    <w:rsid w:val="0033329E"/>
    <w:rsid w:val="003344A3"/>
    <w:rsid w:val="00336D58"/>
    <w:rsid w:val="00336EE9"/>
    <w:rsid w:val="00340AE7"/>
    <w:rsid w:val="00341251"/>
    <w:rsid w:val="00341E4A"/>
    <w:rsid w:val="003442D1"/>
    <w:rsid w:val="00346072"/>
    <w:rsid w:val="0034634B"/>
    <w:rsid w:val="00346A0B"/>
    <w:rsid w:val="00351532"/>
    <w:rsid w:val="00352F7A"/>
    <w:rsid w:val="00353A11"/>
    <w:rsid w:val="00355105"/>
    <w:rsid w:val="0035653A"/>
    <w:rsid w:val="00356C5C"/>
    <w:rsid w:val="003622E4"/>
    <w:rsid w:val="00364AA8"/>
    <w:rsid w:val="0036500B"/>
    <w:rsid w:val="00366E47"/>
    <w:rsid w:val="00366EED"/>
    <w:rsid w:val="00367862"/>
    <w:rsid w:val="0037165F"/>
    <w:rsid w:val="00372DAF"/>
    <w:rsid w:val="003739DA"/>
    <w:rsid w:val="0037566B"/>
    <w:rsid w:val="00376AC8"/>
    <w:rsid w:val="00376FA0"/>
    <w:rsid w:val="0037741E"/>
    <w:rsid w:val="00382188"/>
    <w:rsid w:val="00383C9C"/>
    <w:rsid w:val="003846C1"/>
    <w:rsid w:val="00384DA1"/>
    <w:rsid w:val="00385369"/>
    <w:rsid w:val="00387300"/>
    <w:rsid w:val="0039021E"/>
    <w:rsid w:val="00390ACC"/>
    <w:rsid w:val="00390CAB"/>
    <w:rsid w:val="00390D71"/>
    <w:rsid w:val="00392295"/>
    <w:rsid w:val="00392A99"/>
    <w:rsid w:val="00393CC4"/>
    <w:rsid w:val="00395D42"/>
    <w:rsid w:val="003961E1"/>
    <w:rsid w:val="003974F6"/>
    <w:rsid w:val="003A1884"/>
    <w:rsid w:val="003A2B15"/>
    <w:rsid w:val="003A6AD1"/>
    <w:rsid w:val="003A7D4F"/>
    <w:rsid w:val="003B10EF"/>
    <w:rsid w:val="003B1311"/>
    <w:rsid w:val="003B2848"/>
    <w:rsid w:val="003B2854"/>
    <w:rsid w:val="003B62FB"/>
    <w:rsid w:val="003B6EB5"/>
    <w:rsid w:val="003B7BAA"/>
    <w:rsid w:val="003C072C"/>
    <w:rsid w:val="003C1293"/>
    <w:rsid w:val="003C191B"/>
    <w:rsid w:val="003C4C42"/>
    <w:rsid w:val="003C5FE0"/>
    <w:rsid w:val="003D0617"/>
    <w:rsid w:val="003D2995"/>
    <w:rsid w:val="003D3F65"/>
    <w:rsid w:val="003D52A6"/>
    <w:rsid w:val="003D5642"/>
    <w:rsid w:val="003D597D"/>
    <w:rsid w:val="003D6912"/>
    <w:rsid w:val="003E166A"/>
    <w:rsid w:val="003E41A1"/>
    <w:rsid w:val="003E5A2B"/>
    <w:rsid w:val="003E5C76"/>
    <w:rsid w:val="003E7060"/>
    <w:rsid w:val="003E7F1D"/>
    <w:rsid w:val="003F179C"/>
    <w:rsid w:val="003F29DF"/>
    <w:rsid w:val="003F5663"/>
    <w:rsid w:val="003F5D5E"/>
    <w:rsid w:val="003F7858"/>
    <w:rsid w:val="00400A54"/>
    <w:rsid w:val="0040102B"/>
    <w:rsid w:val="0040125A"/>
    <w:rsid w:val="00403BAD"/>
    <w:rsid w:val="004060D1"/>
    <w:rsid w:val="00406DCF"/>
    <w:rsid w:val="004079FC"/>
    <w:rsid w:val="00407BF4"/>
    <w:rsid w:val="00412F8F"/>
    <w:rsid w:val="004135DA"/>
    <w:rsid w:val="00414988"/>
    <w:rsid w:val="004200CE"/>
    <w:rsid w:val="00423EC0"/>
    <w:rsid w:val="00424C89"/>
    <w:rsid w:val="00424E18"/>
    <w:rsid w:val="00425D98"/>
    <w:rsid w:val="0042745D"/>
    <w:rsid w:val="00427AC6"/>
    <w:rsid w:val="00430D29"/>
    <w:rsid w:val="0043169A"/>
    <w:rsid w:val="00432560"/>
    <w:rsid w:val="00432E4A"/>
    <w:rsid w:val="00433EF7"/>
    <w:rsid w:val="00434973"/>
    <w:rsid w:val="00436A99"/>
    <w:rsid w:val="004410D5"/>
    <w:rsid w:val="00443355"/>
    <w:rsid w:val="00443D5F"/>
    <w:rsid w:val="00446E89"/>
    <w:rsid w:val="00450CFE"/>
    <w:rsid w:val="0045145F"/>
    <w:rsid w:val="004559F8"/>
    <w:rsid w:val="00456F15"/>
    <w:rsid w:val="00457A05"/>
    <w:rsid w:val="0046288C"/>
    <w:rsid w:val="00464701"/>
    <w:rsid w:val="004649EE"/>
    <w:rsid w:val="00465AB4"/>
    <w:rsid w:val="00465F6F"/>
    <w:rsid w:val="00466184"/>
    <w:rsid w:val="004662A4"/>
    <w:rsid w:val="0046641F"/>
    <w:rsid w:val="004665E6"/>
    <w:rsid w:val="00466A5E"/>
    <w:rsid w:val="004671CC"/>
    <w:rsid w:val="00473AC3"/>
    <w:rsid w:val="00474067"/>
    <w:rsid w:val="0048229E"/>
    <w:rsid w:val="00483F33"/>
    <w:rsid w:val="00484C75"/>
    <w:rsid w:val="00485B5C"/>
    <w:rsid w:val="004860C9"/>
    <w:rsid w:val="00492DD0"/>
    <w:rsid w:val="00492E12"/>
    <w:rsid w:val="0049518B"/>
    <w:rsid w:val="00497180"/>
    <w:rsid w:val="00497BB2"/>
    <w:rsid w:val="004A1FA2"/>
    <w:rsid w:val="004A2BCA"/>
    <w:rsid w:val="004A3D17"/>
    <w:rsid w:val="004A4D4A"/>
    <w:rsid w:val="004A6130"/>
    <w:rsid w:val="004A6ED0"/>
    <w:rsid w:val="004B3B28"/>
    <w:rsid w:val="004B5F89"/>
    <w:rsid w:val="004B6447"/>
    <w:rsid w:val="004C090C"/>
    <w:rsid w:val="004C2609"/>
    <w:rsid w:val="004C28D0"/>
    <w:rsid w:val="004C2EBD"/>
    <w:rsid w:val="004C5181"/>
    <w:rsid w:val="004C711D"/>
    <w:rsid w:val="004D107B"/>
    <w:rsid w:val="004D2B73"/>
    <w:rsid w:val="004D2CF2"/>
    <w:rsid w:val="004D3E72"/>
    <w:rsid w:val="004D7D44"/>
    <w:rsid w:val="004E2E39"/>
    <w:rsid w:val="004E4147"/>
    <w:rsid w:val="004E6C20"/>
    <w:rsid w:val="004E6D65"/>
    <w:rsid w:val="004E79A2"/>
    <w:rsid w:val="004F3322"/>
    <w:rsid w:val="004F4E4A"/>
    <w:rsid w:val="004F5C4D"/>
    <w:rsid w:val="004F7837"/>
    <w:rsid w:val="005016EE"/>
    <w:rsid w:val="005020BE"/>
    <w:rsid w:val="00502326"/>
    <w:rsid w:val="00502962"/>
    <w:rsid w:val="00504EE2"/>
    <w:rsid w:val="00505397"/>
    <w:rsid w:val="00505EE9"/>
    <w:rsid w:val="00506244"/>
    <w:rsid w:val="0051145E"/>
    <w:rsid w:val="00512A85"/>
    <w:rsid w:val="00513C4A"/>
    <w:rsid w:val="00513D47"/>
    <w:rsid w:val="0051540B"/>
    <w:rsid w:val="005154EF"/>
    <w:rsid w:val="0051757F"/>
    <w:rsid w:val="00521A5F"/>
    <w:rsid w:val="00522180"/>
    <w:rsid w:val="005240F2"/>
    <w:rsid w:val="00524E1B"/>
    <w:rsid w:val="00527B2C"/>
    <w:rsid w:val="00533F93"/>
    <w:rsid w:val="00534307"/>
    <w:rsid w:val="00534E34"/>
    <w:rsid w:val="00540FAD"/>
    <w:rsid w:val="00544420"/>
    <w:rsid w:val="0054458B"/>
    <w:rsid w:val="00545ADE"/>
    <w:rsid w:val="00550049"/>
    <w:rsid w:val="00551079"/>
    <w:rsid w:val="00552D6E"/>
    <w:rsid w:val="00554684"/>
    <w:rsid w:val="00554BD5"/>
    <w:rsid w:val="00555102"/>
    <w:rsid w:val="00555D75"/>
    <w:rsid w:val="005571FE"/>
    <w:rsid w:val="0055770B"/>
    <w:rsid w:val="00562D6A"/>
    <w:rsid w:val="00563A24"/>
    <w:rsid w:val="00563D2E"/>
    <w:rsid w:val="00563DBF"/>
    <w:rsid w:val="005703D8"/>
    <w:rsid w:val="005704E9"/>
    <w:rsid w:val="00570F81"/>
    <w:rsid w:val="00572795"/>
    <w:rsid w:val="005729C3"/>
    <w:rsid w:val="0057331A"/>
    <w:rsid w:val="005734B0"/>
    <w:rsid w:val="00573D3C"/>
    <w:rsid w:val="00574BF7"/>
    <w:rsid w:val="005773E4"/>
    <w:rsid w:val="005804D5"/>
    <w:rsid w:val="00581ED2"/>
    <w:rsid w:val="00583C61"/>
    <w:rsid w:val="00584ABF"/>
    <w:rsid w:val="00584C39"/>
    <w:rsid w:val="00584C48"/>
    <w:rsid w:val="00586329"/>
    <w:rsid w:val="005874D1"/>
    <w:rsid w:val="00591467"/>
    <w:rsid w:val="0059402A"/>
    <w:rsid w:val="0059402D"/>
    <w:rsid w:val="00594698"/>
    <w:rsid w:val="00594D7E"/>
    <w:rsid w:val="00595CF5"/>
    <w:rsid w:val="00595F1D"/>
    <w:rsid w:val="00596694"/>
    <w:rsid w:val="00597F86"/>
    <w:rsid w:val="005A10D7"/>
    <w:rsid w:val="005A2613"/>
    <w:rsid w:val="005A40A8"/>
    <w:rsid w:val="005A414A"/>
    <w:rsid w:val="005A4CB6"/>
    <w:rsid w:val="005A65F4"/>
    <w:rsid w:val="005A7C21"/>
    <w:rsid w:val="005A7C25"/>
    <w:rsid w:val="005B3798"/>
    <w:rsid w:val="005B7D16"/>
    <w:rsid w:val="005C0B31"/>
    <w:rsid w:val="005C54D9"/>
    <w:rsid w:val="005C5861"/>
    <w:rsid w:val="005C5865"/>
    <w:rsid w:val="005C625B"/>
    <w:rsid w:val="005C66DE"/>
    <w:rsid w:val="005D17A8"/>
    <w:rsid w:val="005D22A4"/>
    <w:rsid w:val="005D3188"/>
    <w:rsid w:val="005D3C82"/>
    <w:rsid w:val="005D3DE1"/>
    <w:rsid w:val="005D4EEA"/>
    <w:rsid w:val="005D5130"/>
    <w:rsid w:val="005E0616"/>
    <w:rsid w:val="005E18D4"/>
    <w:rsid w:val="005E2773"/>
    <w:rsid w:val="005E3059"/>
    <w:rsid w:val="005E3A7C"/>
    <w:rsid w:val="005E3F2E"/>
    <w:rsid w:val="005E4FBD"/>
    <w:rsid w:val="005E5564"/>
    <w:rsid w:val="005E7462"/>
    <w:rsid w:val="005F04B0"/>
    <w:rsid w:val="005F1006"/>
    <w:rsid w:val="005F2C8C"/>
    <w:rsid w:val="005F320F"/>
    <w:rsid w:val="006001D3"/>
    <w:rsid w:val="00601224"/>
    <w:rsid w:val="00602145"/>
    <w:rsid w:val="00604834"/>
    <w:rsid w:val="00606ACF"/>
    <w:rsid w:val="006075B8"/>
    <w:rsid w:val="00610787"/>
    <w:rsid w:val="0061124E"/>
    <w:rsid w:val="006133FB"/>
    <w:rsid w:val="00614B50"/>
    <w:rsid w:val="00615AE1"/>
    <w:rsid w:val="00621229"/>
    <w:rsid w:val="00621A60"/>
    <w:rsid w:val="00622046"/>
    <w:rsid w:val="00622F96"/>
    <w:rsid w:val="0062487F"/>
    <w:rsid w:val="00624EA5"/>
    <w:rsid w:val="0062654F"/>
    <w:rsid w:val="006267EC"/>
    <w:rsid w:val="00630D96"/>
    <w:rsid w:val="00632D30"/>
    <w:rsid w:val="006339DB"/>
    <w:rsid w:val="0063429B"/>
    <w:rsid w:val="0063626E"/>
    <w:rsid w:val="00636608"/>
    <w:rsid w:val="00636F0B"/>
    <w:rsid w:val="006371EA"/>
    <w:rsid w:val="00637276"/>
    <w:rsid w:val="0064118C"/>
    <w:rsid w:val="00646D06"/>
    <w:rsid w:val="00650565"/>
    <w:rsid w:val="00652B62"/>
    <w:rsid w:val="00652DAB"/>
    <w:rsid w:val="00653855"/>
    <w:rsid w:val="00654727"/>
    <w:rsid w:val="00655BB0"/>
    <w:rsid w:val="006573EA"/>
    <w:rsid w:val="00660D41"/>
    <w:rsid w:val="0066154F"/>
    <w:rsid w:val="00662E6D"/>
    <w:rsid w:val="0066381A"/>
    <w:rsid w:val="00667EDB"/>
    <w:rsid w:val="00670067"/>
    <w:rsid w:val="00670709"/>
    <w:rsid w:val="0067225E"/>
    <w:rsid w:val="006733B0"/>
    <w:rsid w:val="00674298"/>
    <w:rsid w:val="00676B05"/>
    <w:rsid w:val="00681C2D"/>
    <w:rsid w:val="006823D5"/>
    <w:rsid w:val="0068417F"/>
    <w:rsid w:val="00685864"/>
    <w:rsid w:val="00690568"/>
    <w:rsid w:val="00690E6E"/>
    <w:rsid w:val="00691412"/>
    <w:rsid w:val="006933E8"/>
    <w:rsid w:val="006A51A8"/>
    <w:rsid w:val="006B3D78"/>
    <w:rsid w:val="006B574C"/>
    <w:rsid w:val="006B69B0"/>
    <w:rsid w:val="006C0F0B"/>
    <w:rsid w:val="006C1BE2"/>
    <w:rsid w:val="006C337E"/>
    <w:rsid w:val="006C5AD0"/>
    <w:rsid w:val="006C7AEA"/>
    <w:rsid w:val="006D0C5B"/>
    <w:rsid w:val="006D2A9D"/>
    <w:rsid w:val="006D366D"/>
    <w:rsid w:val="006D3704"/>
    <w:rsid w:val="006D420F"/>
    <w:rsid w:val="006D5B8F"/>
    <w:rsid w:val="006D5D41"/>
    <w:rsid w:val="006D7BFB"/>
    <w:rsid w:val="006E4451"/>
    <w:rsid w:val="006E514D"/>
    <w:rsid w:val="006E530D"/>
    <w:rsid w:val="006E5CA6"/>
    <w:rsid w:val="006F100F"/>
    <w:rsid w:val="006F1AAB"/>
    <w:rsid w:val="006F1D3B"/>
    <w:rsid w:val="006F6F22"/>
    <w:rsid w:val="006F70A7"/>
    <w:rsid w:val="006F778C"/>
    <w:rsid w:val="006F7A09"/>
    <w:rsid w:val="006F7BD9"/>
    <w:rsid w:val="006F7E8C"/>
    <w:rsid w:val="00702F4D"/>
    <w:rsid w:val="007034F5"/>
    <w:rsid w:val="007053FE"/>
    <w:rsid w:val="00706C24"/>
    <w:rsid w:val="007110E7"/>
    <w:rsid w:val="00714355"/>
    <w:rsid w:val="00714E7A"/>
    <w:rsid w:val="007167F6"/>
    <w:rsid w:val="00716843"/>
    <w:rsid w:val="007168E9"/>
    <w:rsid w:val="0072013E"/>
    <w:rsid w:val="0072089B"/>
    <w:rsid w:val="007208CC"/>
    <w:rsid w:val="007218D9"/>
    <w:rsid w:val="00722B05"/>
    <w:rsid w:val="007270BE"/>
    <w:rsid w:val="00727155"/>
    <w:rsid w:val="007278B6"/>
    <w:rsid w:val="00731444"/>
    <w:rsid w:val="00733B79"/>
    <w:rsid w:val="007352B5"/>
    <w:rsid w:val="007365A0"/>
    <w:rsid w:val="0073668D"/>
    <w:rsid w:val="00740C1B"/>
    <w:rsid w:val="007463C2"/>
    <w:rsid w:val="007502AE"/>
    <w:rsid w:val="007509BF"/>
    <w:rsid w:val="00750D25"/>
    <w:rsid w:val="00752FEA"/>
    <w:rsid w:val="00753D7E"/>
    <w:rsid w:val="00755151"/>
    <w:rsid w:val="00755551"/>
    <w:rsid w:val="007569D3"/>
    <w:rsid w:val="0076169F"/>
    <w:rsid w:val="007640C1"/>
    <w:rsid w:val="0076702F"/>
    <w:rsid w:val="00770881"/>
    <w:rsid w:val="00772065"/>
    <w:rsid w:val="00776751"/>
    <w:rsid w:val="00776ACB"/>
    <w:rsid w:val="00776E98"/>
    <w:rsid w:val="007770F6"/>
    <w:rsid w:val="0078148C"/>
    <w:rsid w:val="00781973"/>
    <w:rsid w:val="00782B93"/>
    <w:rsid w:val="00782F49"/>
    <w:rsid w:val="0078462C"/>
    <w:rsid w:val="00784762"/>
    <w:rsid w:val="00784C49"/>
    <w:rsid w:val="00784D8E"/>
    <w:rsid w:val="00785B78"/>
    <w:rsid w:val="00785D57"/>
    <w:rsid w:val="00786C32"/>
    <w:rsid w:val="00787CD7"/>
    <w:rsid w:val="007926AF"/>
    <w:rsid w:val="0079372E"/>
    <w:rsid w:val="00794ABA"/>
    <w:rsid w:val="0079533C"/>
    <w:rsid w:val="007966B9"/>
    <w:rsid w:val="00796C88"/>
    <w:rsid w:val="00797D08"/>
    <w:rsid w:val="007A0081"/>
    <w:rsid w:val="007A1DC1"/>
    <w:rsid w:val="007A3058"/>
    <w:rsid w:val="007A48B5"/>
    <w:rsid w:val="007A4E1C"/>
    <w:rsid w:val="007A5528"/>
    <w:rsid w:val="007A5913"/>
    <w:rsid w:val="007A59F6"/>
    <w:rsid w:val="007A60AB"/>
    <w:rsid w:val="007A668F"/>
    <w:rsid w:val="007A6EEB"/>
    <w:rsid w:val="007B23F3"/>
    <w:rsid w:val="007B36A2"/>
    <w:rsid w:val="007B4B9D"/>
    <w:rsid w:val="007C04F5"/>
    <w:rsid w:val="007C0913"/>
    <w:rsid w:val="007C19AD"/>
    <w:rsid w:val="007C1E8D"/>
    <w:rsid w:val="007C3029"/>
    <w:rsid w:val="007C44B7"/>
    <w:rsid w:val="007C5C16"/>
    <w:rsid w:val="007C6106"/>
    <w:rsid w:val="007C70F8"/>
    <w:rsid w:val="007C71DF"/>
    <w:rsid w:val="007C7C89"/>
    <w:rsid w:val="007D1EC5"/>
    <w:rsid w:val="007D2397"/>
    <w:rsid w:val="007D249E"/>
    <w:rsid w:val="007D263B"/>
    <w:rsid w:val="007D2ED1"/>
    <w:rsid w:val="007D362C"/>
    <w:rsid w:val="007D4697"/>
    <w:rsid w:val="007D4D06"/>
    <w:rsid w:val="007D5221"/>
    <w:rsid w:val="007D588D"/>
    <w:rsid w:val="007E4398"/>
    <w:rsid w:val="007E515D"/>
    <w:rsid w:val="007E5DE0"/>
    <w:rsid w:val="007E716E"/>
    <w:rsid w:val="007F1682"/>
    <w:rsid w:val="007F16CF"/>
    <w:rsid w:val="007F4207"/>
    <w:rsid w:val="00801C0C"/>
    <w:rsid w:val="00802CC1"/>
    <w:rsid w:val="00804A55"/>
    <w:rsid w:val="00807508"/>
    <w:rsid w:val="008107E1"/>
    <w:rsid w:val="0081392B"/>
    <w:rsid w:val="00815A56"/>
    <w:rsid w:val="0081605E"/>
    <w:rsid w:val="0081663B"/>
    <w:rsid w:val="00820774"/>
    <w:rsid w:val="00821F57"/>
    <w:rsid w:val="0082462A"/>
    <w:rsid w:val="00825C34"/>
    <w:rsid w:val="008272F6"/>
    <w:rsid w:val="008277BA"/>
    <w:rsid w:val="00830972"/>
    <w:rsid w:val="008323B8"/>
    <w:rsid w:val="00832998"/>
    <w:rsid w:val="008351EA"/>
    <w:rsid w:val="00835865"/>
    <w:rsid w:val="00836ABC"/>
    <w:rsid w:val="00837ABB"/>
    <w:rsid w:val="008401AC"/>
    <w:rsid w:val="00840975"/>
    <w:rsid w:val="00840FBD"/>
    <w:rsid w:val="0084100B"/>
    <w:rsid w:val="0084211B"/>
    <w:rsid w:val="00842615"/>
    <w:rsid w:val="00843DBA"/>
    <w:rsid w:val="00845220"/>
    <w:rsid w:val="008468E0"/>
    <w:rsid w:val="00847209"/>
    <w:rsid w:val="00850355"/>
    <w:rsid w:val="00852865"/>
    <w:rsid w:val="00853656"/>
    <w:rsid w:val="0085441D"/>
    <w:rsid w:val="008561C5"/>
    <w:rsid w:val="00856C19"/>
    <w:rsid w:val="008577D3"/>
    <w:rsid w:val="00860457"/>
    <w:rsid w:val="00860A38"/>
    <w:rsid w:val="00861FAA"/>
    <w:rsid w:val="0086398A"/>
    <w:rsid w:val="008661BC"/>
    <w:rsid w:val="00866AB1"/>
    <w:rsid w:val="00870929"/>
    <w:rsid w:val="00871400"/>
    <w:rsid w:val="008738E6"/>
    <w:rsid w:val="008776AE"/>
    <w:rsid w:val="00877AD1"/>
    <w:rsid w:val="00877D49"/>
    <w:rsid w:val="008820EE"/>
    <w:rsid w:val="00887FFC"/>
    <w:rsid w:val="0089184A"/>
    <w:rsid w:val="00892C89"/>
    <w:rsid w:val="00892D49"/>
    <w:rsid w:val="00892F84"/>
    <w:rsid w:val="008937F6"/>
    <w:rsid w:val="00896EF1"/>
    <w:rsid w:val="00897BAE"/>
    <w:rsid w:val="00897F96"/>
    <w:rsid w:val="008A0053"/>
    <w:rsid w:val="008A1D0D"/>
    <w:rsid w:val="008A3099"/>
    <w:rsid w:val="008A342D"/>
    <w:rsid w:val="008A755B"/>
    <w:rsid w:val="008B1EC2"/>
    <w:rsid w:val="008B62BF"/>
    <w:rsid w:val="008B6ED5"/>
    <w:rsid w:val="008C029D"/>
    <w:rsid w:val="008C2184"/>
    <w:rsid w:val="008C28B8"/>
    <w:rsid w:val="008C4336"/>
    <w:rsid w:val="008C489B"/>
    <w:rsid w:val="008C5194"/>
    <w:rsid w:val="008C595F"/>
    <w:rsid w:val="008D03E1"/>
    <w:rsid w:val="008D0D0D"/>
    <w:rsid w:val="008D26D0"/>
    <w:rsid w:val="008D68E1"/>
    <w:rsid w:val="008D75E9"/>
    <w:rsid w:val="008E5A99"/>
    <w:rsid w:val="008E66B3"/>
    <w:rsid w:val="008F0903"/>
    <w:rsid w:val="008F2AB4"/>
    <w:rsid w:val="008F3A9A"/>
    <w:rsid w:val="008F62E0"/>
    <w:rsid w:val="008F6972"/>
    <w:rsid w:val="009048D9"/>
    <w:rsid w:val="00904F3E"/>
    <w:rsid w:val="00906E37"/>
    <w:rsid w:val="009074A4"/>
    <w:rsid w:val="00907E65"/>
    <w:rsid w:val="009106F2"/>
    <w:rsid w:val="00910CDB"/>
    <w:rsid w:val="00911530"/>
    <w:rsid w:val="009138A4"/>
    <w:rsid w:val="00913BAE"/>
    <w:rsid w:val="00914377"/>
    <w:rsid w:val="00915935"/>
    <w:rsid w:val="00915C5A"/>
    <w:rsid w:val="0091643A"/>
    <w:rsid w:val="0091736B"/>
    <w:rsid w:val="00920585"/>
    <w:rsid w:val="00920A0E"/>
    <w:rsid w:val="00922031"/>
    <w:rsid w:val="00923681"/>
    <w:rsid w:val="00924024"/>
    <w:rsid w:val="00925580"/>
    <w:rsid w:val="0093607D"/>
    <w:rsid w:val="00937868"/>
    <w:rsid w:val="00943E0F"/>
    <w:rsid w:val="00944E54"/>
    <w:rsid w:val="00945AF9"/>
    <w:rsid w:val="00946D9D"/>
    <w:rsid w:val="0094740B"/>
    <w:rsid w:val="00947A09"/>
    <w:rsid w:val="009507DF"/>
    <w:rsid w:val="00955F1F"/>
    <w:rsid w:val="00956574"/>
    <w:rsid w:val="00960927"/>
    <w:rsid w:val="009660DA"/>
    <w:rsid w:val="009706F6"/>
    <w:rsid w:val="009737C3"/>
    <w:rsid w:val="00973D87"/>
    <w:rsid w:val="009767BA"/>
    <w:rsid w:val="00976FCF"/>
    <w:rsid w:val="0097762F"/>
    <w:rsid w:val="009802B2"/>
    <w:rsid w:val="00981EE9"/>
    <w:rsid w:val="00982D08"/>
    <w:rsid w:val="00982D6E"/>
    <w:rsid w:val="00982F1C"/>
    <w:rsid w:val="00983A56"/>
    <w:rsid w:val="00984045"/>
    <w:rsid w:val="009848B5"/>
    <w:rsid w:val="00984D11"/>
    <w:rsid w:val="00985785"/>
    <w:rsid w:val="00985A42"/>
    <w:rsid w:val="0099287B"/>
    <w:rsid w:val="0099455C"/>
    <w:rsid w:val="00994B4B"/>
    <w:rsid w:val="00994F03"/>
    <w:rsid w:val="00994FE9"/>
    <w:rsid w:val="00996A72"/>
    <w:rsid w:val="0099777E"/>
    <w:rsid w:val="009A0953"/>
    <w:rsid w:val="009A095E"/>
    <w:rsid w:val="009A24C1"/>
    <w:rsid w:val="009A407D"/>
    <w:rsid w:val="009B1558"/>
    <w:rsid w:val="009B2492"/>
    <w:rsid w:val="009B4F29"/>
    <w:rsid w:val="009B6410"/>
    <w:rsid w:val="009B6B8E"/>
    <w:rsid w:val="009C1556"/>
    <w:rsid w:val="009C1822"/>
    <w:rsid w:val="009C78E1"/>
    <w:rsid w:val="009C7EF4"/>
    <w:rsid w:val="009D1C62"/>
    <w:rsid w:val="009D2B41"/>
    <w:rsid w:val="009D3C23"/>
    <w:rsid w:val="009D5224"/>
    <w:rsid w:val="009D5ED9"/>
    <w:rsid w:val="009D6F29"/>
    <w:rsid w:val="009E0280"/>
    <w:rsid w:val="009E1446"/>
    <w:rsid w:val="009E18EA"/>
    <w:rsid w:val="009E229B"/>
    <w:rsid w:val="009E2A03"/>
    <w:rsid w:val="009E30C3"/>
    <w:rsid w:val="009E3DD4"/>
    <w:rsid w:val="009E5834"/>
    <w:rsid w:val="009E7DC6"/>
    <w:rsid w:val="009F0398"/>
    <w:rsid w:val="009F1F46"/>
    <w:rsid w:val="009F4282"/>
    <w:rsid w:val="009F5BBD"/>
    <w:rsid w:val="009F5CF8"/>
    <w:rsid w:val="009F643D"/>
    <w:rsid w:val="009F6712"/>
    <w:rsid w:val="009F772C"/>
    <w:rsid w:val="00A00876"/>
    <w:rsid w:val="00A016D7"/>
    <w:rsid w:val="00A03AE1"/>
    <w:rsid w:val="00A101B2"/>
    <w:rsid w:val="00A105D7"/>
    <w:rsid w:val="00A10A32"/>
    <w:rsid w:val="00A11394"/>
    <w:rsid w:val="00A118BF"/>
    <w:rsid w:val="00A11F3D"/>
    <w:rsid w:val="00A12433"/>
    <w:rsid w:val="00A136C9"/>
    <w:rsid w:val="00A13C1A"/>
    <w:rsid w:val="00A14083"/>
    <w:rsid w:val="00A15A3C"/>
    <w:rsid w:val="00A211C6"/>
    <w:rsid w:val="00A21AD9"/>
    <w:rsid w:val="00A2288E"/>
    <w:rsid w:val="00A2404E"/>
    <w:rsid w:val="00A24171"/>
    <w:rsid w:val="00A241B0"/>
    <w:rsid w:val="00A2686A"/>
    <w:rsid w:val="00A31654"/>
    <w:rsid w:val="00A34014"/>
    <w:rsid w:val="00A35272"/>
    <w:rsid w:val="00A36321"/>
    <w:rsid w:val="00A367BD"/>
    <w:rsid w:val="00A400E3"/>
    <w:rsid w:val="00A4036D"/>
    <w:rsid w:val="00A42A4A"/>
    <w:rsid w:val="00A45671"/>
    <w:rsid w:val="00A468E1"/>
    <w:rsid w:val="00A46DB3"/>
    <w:rsid w:val="00A51293"/>
    <w:rsid w:val="00A51742"/>
    <w:rsid w:val="00A545E4"/>
    <w:rsid w:val="00A55BD8"/>
    <w:rsid w:val="00A574CD"/>
    <w:rsid w:val="00A61A4F"/>
    <w:rsid w:val="00A620CE"/>
    <w:rsid w:val="00A62C55"/>
    <w:rsid w:val="00A6323D"/>
    <w:rsid w:val="00A642F6"/>
    <w:rsid w:val="00A658AB"/>
    <w:rsid w:val="00A6720D"/>
    <w:rsid w:val="00A674FF"/>
    <w:rsid w:val="00A700A1"/>
    <w:rsid w:val="00A708A3"/>
    <w:rsid w:val="00A719D3"/>
    <w:rsid w:val="00A755C6"/>
    <w:rsid w:val="00A7744D"/>
    <w:rsid w:val="00A77DFF"/>
    <w:rsid w:val="00A814D5"/>
    <w:rsid w:val="00A8154D"/>
    <w:rsid w:val="00A85400"/>
    <w:rsid w:val="00A9148C"/>
    <w:rsid w:val="00A921B6"/>
    <w:rsid w:val="00A92DE1"/>
    <w:rsid w:val="00A933C6"/>
    <w:rsid w:val="00A954B9"/>
    <w:rsid w:val="00A9755F"/>
    <w:rsid w:val="00A9771D"/>
    <w:rsid w:val="00AA2C5F"/>
    <w:rsid w:val="00AA4217"/>
    <w:rsid w:val="00AA64FA"/>
    <w:rsid w:val="00AA6D1D"/>
    <w:rsid w:val="00AB2438"/>
    <w:rsid w:val="00AB24B1"/>
    <w:rsid w:val="00AB3AA3"/>
    <w:rsid w:val="00AB3FC3"/>
    <w:rsid w:val="00AB593F"/>
    <w:rsid w:val="00AC2308"/>
    <w:rsid w:val="00AC28B3"/>
    <w:rsid w:val="00AC3EE4"/>
    <w:rsid w:val="00AC465B"/>
    <w:rsid w:val="00AC4C47"/>
    <w:rsid w:val="00AC6180"/>
    <w:rsid w:val="00AC7264"/>
    <w:rsid w:val="00AD0964"/>
    <w:rsid w:val="00AD09A4"/>
    <w:rsid w:val="00AD3658"/>
    <w:rsid w:val="00AD3CF3"/>
    <w:rsid w:val="00AD5CCB"/>
    <w:rsid w:val="00AD6567"/>
    <w:rsid w:val="00AE0733"/>
    <w:rsid w:val="00AE0F0E"/>
    <w:rsid w:val="00AE5DC5"/>
    <w:rsid w:val="00AE7C5C"/>
    <w:rsid w:val="00AE7FB8"/>
    <w:rsid w:val="00AF0372"/>
    <w:rsid w:val="00AF297F"/>
    <w:rsid w:val="00AF3D25"/>
    <w:rsid w:val="00AF5766"/>
    <w:rsid w:val="00AF60D0"/>
    <w:rsid w:val="00AF68CC"/>
    <w:rsid w:val="00AF6AE6"/>
    <w:rsid w:val="00AF6FF7"/>
    <w:rsid w:val="00B0412C"/>
    <w:rsid w:val="00B05821"/>
    <w:rsid w:val="00B074C9"/>
    <w:rsid w:val="00B1094A"/>
    <w:rsid w:val="00B1217C"/>
    <w:rsid w:val="00B14B3C"/>
    <w:rsid w:val="00B15F38"/>
    <w:rsid w:val="00B17552"/>
    <w:rsid w:val="00B20755"/>
    <w:rsid w:val="00B20963"/>
    <w:rsid w:val="00B2169D"/>
    <w:rsid w:val="00B233D5"/>
    <w:rsid w:val="00B23F29"/>
    <w:rsid w:val="00B25AEE"/>
    <w:rsid w:val="00B27018"/>
    <w:rsid w:val="00B27235"/>
    <w:rsid w:val="00B2750A"/>
    <w:rsid w:val="00B30CE9"/>
    <w:rsid w:val="00B31E82"/>
    <w:rsid w:val="00B34C15"/>
    <w:rsid w:val="00B350C5"/>
    <w:rsid w:val="00B357FB"/>
    <w:rsid w:val="00B3767C"/>
    <w:rsid w:val="00B406C8"/>
    <w:rsid w:val="00B42032"/>
    <w:rsid w:val="00B42BBE"/>
    <w:rsid w:val="00B42CA2"/>
    <w:rsid w:val="00B43168"/>
    <w:rsid w:val="00B43A64"/>
    <w:rsid w:val="00B43BAF"/>
    <w:rsid w:val="00B445C7"/>
    <w:rsid w:val="00B50446"/>
    <w:rsid w:val="00B506F3"/>
    <w:rsid w:val="00B512AF"/>
    <w:rsid w:val="00B51F1C"/>
    <w:rsid w:val="00B5251F"/>
    <w:rsid w:val="00B5270C"/>
    <w:rsid w:val="00B52BA6"/>
    <w:rsid w:val="00B54517"/>
    <w:rsid w:val="00B56828"/>
    <w:rsid w:val="00B5685E"/>
    <w:rsid w:val="00B572A0"/>
    <w:rsid w:val="00B57492"/>
    <w:rsid w:val="00B60579"/>
    <w:rsid w:val="00B60E91"/>
    <w:rsid w:val="00B61809"/>
    <w:rsid w:val="00B622EE"/>
    <w:rsid w:val="00B62EAB"/>
    <w:rsid w:val="00B63964"/>
    <w:rsid w:val="00B64C46"/>
    <w:rsid w:val="00B70A58"/>
    <w:rsid w:val="00B70BC7"/>
    <w:rsid w:val="00B713D1"/>
    <w:rsid w:val="00B75236"/>
    <w:rsid w:val="00B7669A"/>
    <w:rsid w:val="00B80897"/>
    <w:rsid w:val="00B811AE"/>
    <w:rsid w:val="00B81D99"/>
    <w:rsid w:val="00B81F13"/>
    <w:rsid w:val="00B82CDC"/>
    <w:rsid w:val="00B84CD4"/>
    <w:rsid w:val="00B87053"/>
    <w:rsid w:val="00B872A2"/>
    <w:rsid w:val="00B872BD"/>
    <w:rsid w:val="00B90821"/>
    <w:rsid w:val="00B90A44"/>
    <w:rsid w:val="00B91292"/>
    <w:rsid w:val="00B91CBB"/>
    <w:rsid w:val="00B9295D"/>
    <w:rsid w:val="00B9381F"/>
    <w:rsid w:val="00BA127D"/>
    <w:rsid w:val="00BA1C37"/>
    <w:rsid w:val="00BA21C6"/>
    <w:rsid w:val="00BA4FF1"/>
    <w:rsid w:val="00BB058C"/>
    <w:rsid w:val="00BB1FEB"/>
    <w:rsid w:val="00BB30D4"/>
    <w:rsid w:val="00BB360C"/>
    <w:rsid w:val="00BB3C4E"/>
    <w:rsid w:val="00BB58BA"/>
    <w:rsid w:val="00BB688D"/>
    <w:rsid w:val="00BB7885"/>
    <w:rsid w:val="00BC09A6"/>
    <w:rsid w:val="00BC2B5A"/>
    <w:rsid w:val="00BC36EE"/>
    <w:rsid w:val="00BC3876"/>
    <w:rsid w:val="00BC4F4B"/>
    <w:rsid w:val="00BC54B2"/>
    <w:rsid w:val="00BC5B1D"/>
    <w:rsid w:val="00BC7D6C"/>
    <w:rsid w:val="00BC7F2E"/>
    <w:rsid w:val="00BD1AF9"/>
    <w:rsid w:val="00BD1CB2"/>
    <w:rsid w:val="00BD3265"/>
    <w:rsid w:val="00BD37BE"/>
    <w:rsid w:val="00BD3D14"/>
    <w:rsid w:val="00BD680A"/>
    <w:rsid w:val="00BE121C"/>
    <w:rsid w:val="00BE1360"/>
    <w:rsid w:val="00BE33E3"/>
    <w:rsid w:val="00BE5327"/>
    <w:rsid w:val="00BE5C52"/>
    <w:rsid w:val="00BE6E1F"/>
    <w:rsid w:val="00BE70E1"/>
    <w:rsid w:val="00BF15A9"/>
    <w:rsid w:val="00BF17BE"/>
    <w:rsid w:val="00BF472F"/>
    <w:rsid w:val="00BF75D1"/>
    <w:rsid w:val="00C01319"/>
    <w:rsid w:val="00C01A41"/>
    <w:rsid w:val="00C038C5"/>
    <w:rsid w:val="00C05049"/>
    <w:rsid w:val="00C05106"/>
    <w:rsid w:val="00C054D1"/>
    <w:rsid w:val="00C06E57"/>
    <w:rsid w:val="00C0718C"/>
    <w:rsid w:val="00C07FC5"/>
    <w:rsid w:val="00C11C27"/>
    <w:rsid w:val="00C13573"/>
    <w:rsid w:val="00C136B8"/>
    <w:rsid w:val="00C13A57"/>
    <w:rsid w:val="00C15AEA"/>
    <w:rsid w:val="00C15E9B"/>
    <w:rsid w:val="00C17747"/>
    <w:rsid w:val="00C21356"/>
    <w:rsid w:val="00C220FC"/>
    <w:rsid w:val="00C23686"/>
    <w:rsid w:val="00C23967"/>
    <w:rsid w:val="00C23C60"/>
    <w:rsid w:val="00C23C64"/>
    <w:rsid w:val="00C2420B"/>
    <w:rsid w:val="00C24AF5"/>
    <w:rsid w:val="00C25522"/>
    <w:rsid w:val="00C277A2"/>
    <w:rsid w:val="00C30693"/>
    <w:rsid w:val="00C31A32"/>
    <w:rsid w:val="00C32610"/>
    <w:rsid w:val="00C34232"/>
    <w:rsid w:val="00C37B54"/>
    <w:rsid w:val="00C400C4"/>
    <w:rsid w:val="00C41875"/>
    <w:rsid w:val="00C41BA6"/>
    <w:rsid w:val="00C424A7"/>
    <w:rsid w:val="00C42A61"/>
    <w:rsid w:val="00C45E98"/>
    <w:rsid w:val="00C51E2C"/>
    <w:rsid w:val="00C5266B"/>
    <w:rsid w:val="00C529CF"/>
    <w:rsid w:val="00C53186"/>
    <w:rsid w:val="00C53503"/>
    <w:rsid w:val="00C53BD1"/>
    <w:rsid w:val="00C54EF5"/>
    <w:rsid w:val="00C55DAC"/>
    <w:rsid w:val="00C61199"/>
    <w:rsid w:val="00C611D4"/>
    <w:rsid w:val="00C61619"/>
    <w:rsid w:val="00C61705"/>
    <w:rsid w:val="00C61895"/>
    <w:rsid w:val="00C63465"/>
    <w:rsid w:val="00C636B9"/>
    <w:rsid w:val="00C64CE7"/>
    <w:rsid w:val="00C70682"/>
    <w:rsid w:val="00C70693"/>
    <w:rsid w:val="00C71D28"/>
    <w:rsid w:val="00C80DDE"/>
    <w:rsid w:val="00C82C97"/>
    <w:rsid w:val="00C82EF9"/>
    <w:rsid w:val="00C85AE2"/>
    <w:rsid w:val="00C863E9"/>
    <w:rsid w:val="00C8680F"/>
    <w:rsid w:val="00C86A99"/>
    <w:rsid w:val="00C87745"/>
    <w:rsid w:val="00C90FC7"/>
    <w:rsid w:val="00C910F6"/>
    <w:rsid w:val="00C94759"/>
    <w:rsid w:val="00C9515A"/>
    <w:rsid w:val="00C95BEF"/>
    <w:rsid w:val="00C97EBC"/>
    <w:rsid w:val="00CA2158"/>
    <w:rsid w:val="00CA44E9"/>
    <w:rsid w:val="00CA6BC9"/>
    <w:rsid w:val="00CB01A2"/>
    <w:rsid w:val="00CB04A5"/>
    <w:rsid w:val="00CB1AF2"/>
    <w:rsid w:val="00CB49ED"/>
    <w:rsid w:val="00CB543E"/>
    <w:rsid w:val="00CB7675"/>
    <w:rsid w:val="00CC00BF"/>
    <w:rsid w:val="00CC21A8"/>
    <w:rsid w:val="00CC2CCF"/>
    <w:rsid w:val="00CC2EE6"/>
    <w:rsid w:val="00CC476B"/>
    <w:rsid w:val="00CC48C8"/>
    <w:rsid w:val="00CC4B06"/>
    <w:rsid w:val="00CC56B6"/>
    <w:rsid w:val="00CC7CBD"/>
    <w:rsid w:val="00CD11A2"/>
    <w:rsid w:val="00CD2CFA"/>
    <w:rsid w:val="00CD333E"/>
    <w:rsid w:val="00CD33BE"/>
    <w:rsid w:val="00CD407D"/>
    <w:rsid w:val="00CD4228"/>
    <w:rsid w:val="00CD68F4"/>
    <w:rsid w:val="00CD6EC0"/>
    <w:rsid w:val="00CD7370"/>
    <w:rsid w:val="00CE06F5"/>
    <w:rsid w:val="00CE1E9C"/>
    <w:rsid w:val="00CE352B"/>
    <w:rsid w:val="00CE43FF"/>
    <w:rsid w:val="00CE4ED5"/>
    <w:rsid w:val="00CE67A4"/>
    <w:rsid w:val="00CE7CFB"/>
    <w:rsid w:val="00CF36FE"/>
    <w:rsid w:val="00CF5023"/>
    <w:rsid w:val="00CF5B97"/>
    <w:rsid w:val="00CF67BB"/>
    <w:rsid w:val="00D02A1E"/>
    <w:rsid w:val="00D03558"/>
    <w:rsid w:val="00D11981"/>
    <w:rsid w:val="00D120F5"/>
    <w:rsid w:val="00D1237A"/>
    <w:rsid w:val="00D14B5E"/>
    <w:rsid w:val="00D151BF"/>
    <w:rsid w:val="00D154F8"/>
    <w:rsid w:val="00D17A05"/>
    <w:rsid w:val="00D22DD5"/>
    <w:rsid w:val="00D23068"/>
    <w:rsid w:val="00D273FE"/>
    <w:rsid w:val="00D301BB"/>
    <w:rsid w:val="00D30800"/>
    <w:rsid w:val="00D30E63"/>
    <w:rsid w:val="00D32AC6"/>
    <w:rsid w:val="00D338F5"/>
    <w:rsid w:val="00D362E9"/>
    <w:rsid w:val="00D365CE"/>
    <w:rsid w:val="00D415AD"/>
    <w:rsid w:val="00D42647"/>
    <w:rsid w:val="00D440ED"/>
    <w:rsid w:val="00D443E1"/>
    <w:rsid w:val="00D452A4"/>
    <w:rsid w:val="00D4775B"/>
    <w:rsid w:val="00D47F33"/>
    <w:rsid w:val="00D54269"/>
    <w:rsid w:val="00D555FA"/>
    <w:rsid w:val="00D55AAB"/>
    <w:rsid w:val="00D614CA"/>
    <w:rsid w:val="00D633DB"/>
    <w:rsid w:val="00D63F6F"/>
    <w:rsid w:val="00D65333"/>
    <w:rsid w:val="00D65C9E"/>
    <w:rsid w:val="00D70E4A"/>
    <w:rsid w:val="00D74924"/>
    <w:rsid w:val="00D75A59"/>
    <w:rsid w:val="00D75B0E"/>
    <w:rsid w:val="00D75BA9"/>
    <w:rsid w:val="00D7625C"/>
    <w:rsid w:val="00D7770B"/>
    <w:rsid w:val="00D82382"/>
    <w:rsid w:val="00D8361E"/>
    <w:rsid w:val="00D84D1B"/>
    <w:rsid w:val="00D85D41"/>
    <w:rsid w:val="00D86485"/>
    <w:rsid w:val="00D90CF3"/>
    <w:rsid w:val="00D91C09"/>
    <w:rsid w:val="00D923CC"/>
    <w:rsid w:val="00D94178"/>
    <w:rsid w:val="00D94375"/>
    <w:rsid w:val="00D95B04"/>
    <w:rsid w:val="00D97A18"/>
    <w:rsid w:val="00DA0A7D"/>
    <w:rsid w:val="00DA1076"/>
    <w:rsid w:val="00DA10C3"/>
    <w:rsid w:val="00DA13E8"/>
    <w:rsid w:val="00DA26F4"/>
    <w:rsid w:val="00DA3905"/>
    <w:rsid w:val="00DA5E11"/>
    <w:rsid w:val="00DA7CC2"/>
    <w:rsid w:val="00DB19EC"/>
    <w:rsid w:val="00DB2DA3"/>
    <w:rsid w:val="00DB3BE0"/>
    <w:rsid w:val="00DB3CC9"/>
    <w:rsid w:val="00DB3DBE"/>
    <w:rsid w:val="00DB45A4"/>
    <w:rsid w:val="00DB5ADC"/>
    <w:rsid w:val="00DB61C3"/>
    <w:rsid w:val="00DB66E8"/>
    <w:rsid w:val="00DC0B65"/>
    <w:rsid w:val="00DC45FB"/>
    <w:rsid w:val="00DC4A05"/>
    <w:rsid w:val="00DC66D7"/>
    <w:rsid w:val="00DC69F7"/>
    <w:rsid w:val="00DC7DDE"/>
    <w:rsid w:val="00DD0C57"/>
    <w:rsid w:val="00DD2C64"/>
    <w:rsid w:val="00DD2D08"/>
    <w:rsid w:val="00DD3620"/>
    <w:rsid w:val="00DD3988"/>
    <w:rsid w:val="00DD4251"/>
    <w:rsid w:val="00DD47F5"/>
    <w:rsid w:val="00DD5919"/>
    <w:rsid w:val="00DD5ADE"/>
    <w:rsid w:val="00DD68CD"/>
    <w:rsid w:val="00DE052A"/>
    <w:rsid w:val="00DE1103"/>
    <w:rsid w:val="00DE280C"/>
    <w:rsid w:val="00DE40CE"/>
    <w:rsid w:val="00DE4A79"/>
    <w:rsid w:val="00DF0DF9"/>
    <w:rsid w:val="00DF2B1B"/>
    <w:rsid w:val="00DF3451"/>
    <w:rsid w:val="00E0170B"/>
    <w:rsid w:val="00E03EEC"/>
    <w:rsid w:val="00E047A3"/>
    <w:rsid w:val="00E05B27"/>
    <w:rsid w:val="00E05C72"/>
    <w:rsid w:val="00E07721"/>
    <w:rsid w:val="00E11480"/>
    <w:rsid w:val="00E11CFB"/>
    <w:rsid w:val="00E12135"/>
    <w:rsid w:val="00E135D6"/>
    <w:rsid w:val="00E13FC5"/>
    <w:rsid w:val="00E15058"/>
    <w:rsid w:val="00E15271"/>
    <w:rsid w:val="00E15BF3"/>
    <w:rsid w:val="00E1682B"/>
    <w:rsid w:val="00E2062C"/>
    <w:rsid w:val="00E23374"/>
    <w:rsid w:val="00E23A63"/>
    <w:rsid w:val="00E27AC6"/>
    <w:rsid w:val="00E30201"/>
    <w:rsid w:val="00E3255D"/>
    <w:rsid w:val="00E33AD7"/>
    <w:rsid w:val="00E344FF"/>
    <w:rsid w:val="00E35783"/>
    <w:rsid w:val="00E4084A"/>
    <w:rsid w:val="00E41827"/>
    <w:rsid w:val="00E42FE4"/>
    <w:rsid w:val="00E45838"/>
    <w:rsid w:val="00E514CC"/>
    <w:rsid w:val="00E546A1"/>
    <w:rsid w:val="00E5684A"/>
    <w:rsid w:val="00E56AB1"/>
    <w:rsid w:val="00E57840"/>
    <w:rsid w:val="00E57B22"/>
    <w:rsid w:val="00E5C24F"/>
    <w:rsid w:val="00E61120"/>
    <w:rsid w:val="00E61194"/>
    <w:rsid w:val="00E645F0"/>
    <w:rsid w:val="00E65CD9"/>
    <w:rsid w:val="00E6643A"/>
    <w:rsid w:val="00E70032"/>
    <w:rsid w:val="00E70BC6"/>
    <w:rsid w:val="00E717F8"/>
    <w:rsid w:val="00E71EC9"/>
    <w:rsid w:val="00E72924"/>
    <w:rsid w:val="00E72C42"/>
    <w:rsid w:val="00E73DE7"/>
    <w:rsid w:val="00E82A08"/>
    <w:rsid w:val="00E8305B"/>
    <w:rsid w:val="00E8339E"/>
    <w:rsid w:val="00E86285"/>
    <w:rsid w:val="00E900E4"/>
    <w:rsid w:val="00E90500"/>
    <w:rsid w:val="00E90826"/>
    <w:rsid w:val="00E911FB"/>
    <w:rsid w:val="00E91B79"/>
    <w:rsid w:val="00E95353"/>
    <w:rsid w:val="00E97129"/>
    <w:rsid w:val="00E97B08"/>
    <w:rsid w:val="00EA08C9"/>
    <w:rsid w:val="00EA3F78"/>
    <w:rsid w:val="00EA5061"/>
    <w:rsid w:val="00EA53E8"/>
    <w:rsid w:val="00EA5754"/>
    <w:rsid w:val="00EA7012"/>
    <w:rsid w:val="00EB1CD6"/>
    <w:rsid w:val="00EB28E3"/>
    <w:rsid w:val="00EB2EB6"/>
    <w:rsid w:val="00EB581B"/>
    <w:rsid w:val="00EC2008"/>
    <w:rsid w:val="00EC3E28"/>
    <w:rsid w:val="00EC5498"/>
    <w:rsid w:val="00ED2609"/>
    <w:rsid w:val="00ED2FCB"/>
    <w:rsid w:val="00ED304E"/>
    <w:rsid w:val="00ED55A9"/>
    <w:rsid w:val="00ED5FA2"/>
    <w:rsid w:val="00ED7DD5"/>
    <w:rsid w:val="00EE0568"/>
    <w:rsid w:val="00EE1E3A"/>
    <w:rsid w:val="00EE2805"/>
    <w:rsid w:val="00EF0FE9"/>
    <w:rsid w:val="00EF18FF"/>
    <w:rsid w:val="00EF22B5"/>
    <w:rsid w:val="00EF5490"/>
    <w:rsid w:val="00EF569A"/>
    <w:rsid w:val="00F00C64"/>
    <w:rsid w:val="00F00D9E"/>
    <w:rsid w:val="00F039AF"/>
    <w:rsid w:val="00F061BB"/>
    <w:rsid w:val="00F071B1"/>
    <w:rsid w:val="00F11A93"/>
    <w:rsid w:val="00F121CC"/>
    <w:rsid w:val="00F1275B"/>
    <w:rsid w:val="00F12BC4"/>
    <w:rsid w:val="00F14B81"/>
    <w:rsid w:val="00F168F7"/>
    <w:rsid w:val="00F170E0"/>
    <w:rsid w:val="00F1796E"/>
    <w:rsid w:val="00F20BEA"/>
    <w:rsid w:val="00F2259C"/>
    <w:rsid w:val="00F2588F"/>
    <w:rsid w:val="00F2679A"/>
    <w:rsid w:val="00F278B0"/>
    <w:rsid w:val="00F3084E"/>
    <w:rsid w:val="00F3146D"/>
    <w:rsid w:val="00F31535"/>
    <w:rsid w:val="00F31C34"/>
    <w:rsid w:val="00F31CFB"/>
    <w:rsid w:val="00F3620D"/>
    <w:rsid w:val="00F36381"/>
    <w:rsid w:val="00F37664"/>
    <w:rsid w:val="00F37965"/>
    <w:rsid w:val="00F4012D"/>
    <w:rsid w:val="00F413DA"/>
    <w:rsid w:val="00F417FF"/>
    <w:rsid w:val="00F41AE1"/>
    <w:rsid w:val="00F41DF4"/>
    <w:rsid w:val="00F44057"/>
    <w:rsid w:val="00F44277"/>
    <w:rsid w:val="00F44456"/>
    <w:rsid w:val="00F45A49"/>
    <w:rsid w:val="00F460D8"/>
    <w:rsid w:val="00F46544"/>
    <w:rsid w:val="00F50DF2"/>
    <w:rsid w:val="00F5230E"/>
    <w:rsid w:val="00F553D6"/>
    <w:rsid w:val="00F55EA4"/>
    <w:rsid w:val="00F56578"/>
    <w:rsid w:val="00F57829"/>
    <w:rsid w:val="00F57B03"/>
    <w:rsid w:val="00F57F0F"/>
    <w:rsid w:val="00F63095"/>
    <w:rsid w:val="00F64CF8"/>
    <w:rsid w:val="00F67DFF"/>
    <w:rsid w:val="00F71057"/>
    <w:rsid w:val="00F715C3"/>
    <w:rsid w:val="00F71C44"/>
    <w:rsid w:val="00F74E71"/>
    <w:rsid w:val="00F82CC9"/>
    <w:rsid w:val="00F834DA"/>
    <w:rsid w:val="00F8450D"/>
    <w:rsid w:val="00F85BE8"/>
    <w:rsid w:val="00F86377"/>
    <w:rsid w:val="00F87950"/>
    <w:rsid w:val="00F9009F"/>
    <w:rsid w:val="00F90940"/>
    <w:rsid w:val="00F92E5A"/>
    <w:rsid w:val="00F9589C"/>
    <w:rsid w:val="00F960F3"/>
    <w:rsid w:val="00F97992"/>
    <w:rsid w:val="00FA1231"/>
    <w:rsid w:val="00FA3510"/>
    <w:rsid w:val="00FA59A5"/>
    <w:rsid w:val="00FA679F"/>
    <w:rsid w:val="00FA7F48"/>
    <w:rsid w:val="00FB3CE5"/>
    <w:rsid w:val="00FB51AD"/>
    <w:rsid w:val="00FB5C37"/>
    <w:rsid w:val="00FB6483"/>
    <w:rsid w:val="00FB7357"/>
    <w:rsid w:val="00FC238F"/>
    <w:rsid w:val="00FC3EA0"/>
    <w:rsid w:val="00FC458F"/>
    <w:rsid w:val="00FC4EE1"/>
    <w:rsid w:val="00FC707B"/>
    <w:rsid w:val="00FC78B9"/>
    <w:rsid w:val="00FD39FF"/>
    <w:rsid w:val="00FE0054"/>
    <w:rsid w:val="00FE0203"/>
    <w:rsid w:val="00FE4601"/>
    <w:rsid w:val="00FE5F86"/>
    <w:rsid w:val="00FE7026"/>
    <w:rsid w:val="00FF1F77"/>
    <w:rsid w:val="00FF356C"/>
    <w:rsid w:val="00FF5698"/>
    <w:rsid w:val="0145EC2E"/>
    <w:rsid w:val="019B1F3B"/>
    <w:rsid w:val="01A24F5C"/>
    <w:rsid w:val="0216B82B"/>
    <w:rsid w:val="02FBAC65"/>
    <w:rsid w:val="03205B38"/>
    <w:rsid w:val="03FA5412"/>
    <w:rsid w:val="0407A8E6"/>
    <w:rsid w:val="04648C7D"/>
    <w:rsid w:val="0577651E"/>
    <w:rsid w:val="05B548B3"/>
    <w:rsid w:val="05BAFB63"/>
    <w:rsid w:val="05F26EEC"/>
    <w:rsid w:val="05F5D660"/>
    <w:rsid w:val="06C85B31"/>
    <w:rsid w:val="06E28992"/>
    <w:rsid w:val="06F473B9"/>
    <w:rsid w:val="073EAA9C"/>
    <w:rsid w:val="07E5B568"/>
    <w:rsid w:val="0868DB87"/>
    <w:rsid w:val="086F51C0"/>
    <w:rsid w:val="08E09516"/>
    <w:rsid w:val="09AC3726"/>
    <w:rsid w:val="0B064A25"/>
    <w:rsid w:val="0B20569B"/>
    <w:rsid w:val="0BD90E28"/>
    <w:rsid w:val="0CAB15D6"/>
    <w:rsid w:val="0CB8959A"/>
    <w:rsid w:val="0D1C933F"/>
    <w:rsid w:val="0D5A487D"/>
    <w:rsid w:val="0D63B53D"/>
    <w:rsid w:val="0E71E21F"/>
    <w:rsid w:val="0E77F28A"/>
    <w:rsid w:val="0EDD5840"/>
    <w:rsid w:val="0EEB0910"/>
    <w:rsid w:val="102B8C83"/>
    <w:rsid w:val="10977EDC"/>
    <w:rsid w:val="109B55FF"/>
    <w:rsid w:val="10C0809C"/>
    <w:rsid w:val="10FB91C7"/>
    <w:rsid w:val="115D8317"/>
    <w:rsid w:val="1325AAFA"/>
    <w:rsid w:val="1424F066"/>
    <w:rsid w:val="145297FA"/>
    <w:rsid w:val="14ACD677"/>
    <w:rsid w:val="157F69F0"/>
    <w:rsid w:val="1666A40B"/>
    <w:rsid w:val="16EBAA0C"/>
    <w:rsid w:val="17826BA1"/>
    <w:rsid w:val="17F7E423"/>
    <w:rsid w:val="181B892A"/>
    <w:rsid w:val="190AF813"/>
    <w:rsid w:val="19A3EED4"/>
    <w:rsid w:val="1A27B5E5"/>
    <w:rsid w:val="1AED5C12"/>
    <w:rsid w:val="1AFDE679"/>
    <w:rsid w:val="1B174BA5"/>
    <w:rsid w:val="1C17EA54"/>
    <w:rsid w:val="1C264B79"/>
    <w:rsid w:val="1CAE58D1"/>
    <w:rsid w:val="1CB0AF00"/>
    <w:rsid w:val="1D454216"/>
    <w:rsid w:val="1DA621CF"/>
    <w:rsid w:val="1E2FBC9F"/>
    <w:rsid w:val="1F0F5D68"/>
    <w:rsid w:val="1F153C30"/>
    <w:rsid w:val="1F174797"/>
    <w:rsid w:val="1F3B2576"/>
    <w:rsid w:val="1FA2D879"/>
    <w:rsid w:val="207D6E25"/>
    <w:rsid w:val="20AF9FB5"/>
    <w:rsid w:val="210FA897"/>
    <w:rsid w:val="224F6655"/>
    <w:rsid w:val="233E99CA"/>
    <w:rsid w:val="23A71EB3"/>
    <w:rsid w:val="23AF72B2"/>
    <w:rsid w:val="2438CB24"/>
    <w:rsid w:val="2490AFBD"/>
    <w:rsid w:val="24BA778D"/>
    <w:rsid w:val="24C0095E"/>
    <w:rsid w:val="264B54BA"/>
    <w:rsid w:val="27468B42"/>
    <w:rsid w:val="27EC3803"/>
    <w:rsid w:val="283C34ED"/>
    <w:rsid w:val="286B539D"/>
    <w:rsid w:val="28762BF6"/>
    <w:rsid w:val="28A93100"/>
    <w:rsid w:val="28B534A1"/>
    <w:rsid w:val="28F6B296"/>
    <w:rsid w:val="29018A57"/>
    <w:rsid w:val="29CC0EE6"/>
    <w:rsid w:val="2A743685"/>
    <w:rsid w:val="2AA26DA0"/>
    <w:rsid w:val="2AB17545"/>
    <w:rsid w:val="2ABAB989"/>
    <w:rsid w:val="2C801522"/>
    <w:rsid w:val="2CB3E62B"/>
    <w:rsid w:val="2E82CFE6"/>
    <w:rsid w:val="2E899A31"/>
    <w:rsid w:val="2F944332"/>
    <w:rsid w:val="309A4C04"/>
    <w:rsid w:val="30FA2ABB"/>
    <w:rsid w:val="315B7BCD"/>
    <w:rsid w:val="31A70557"/>
    <w:rsid w:val="31A85FC8"/>
    <w:rsid w:val="32428E58"/>
    <w:rsid w:val="32445884"/>
    <w:rsid w:val="324522C3"/>
    <w:rsid w:val="33043B1B"/>
    <w:rsid w:val="33092738"/>
    <w:rsid w:val="330AB9D1"/>
    <w:rsid w:val="332626DC"/>
    <w:rsid w:val="33C0E779"/>
    <w:rsid w:val="3401EBC9"/>
    <w:rsid w:val="34488FEF"/>
    <w:rsid w:val="354F0E8F"/>
    <w:rsid w:val="35D4E5A9"/>
    <w:rsid w:val="35DE4E5B"/>
    <w:rsid w:val="364A8BC6"/>
    <w:rsid w:val="36E3444B"/>
    <w:rsid w:val="37D8D3D1"/>
    <w:rsid w:val="38194BEA"/>
    <w:rsid w:val="382E4BA8"/>
    <w:rsid w:val="38F3B0D1"/>
    <w:rsid w:val="3991C8FB"/>
    <w:rsid w:val="3A6A2A7B"/>
    <w:rsid w:val="3ACCFE69"/>
    <w:rsid w:val="3B41F55A"/>
    <w:rsid w:val="3B5236D0"/>
    <w:rsid w:val="3B7CD56D"/>
    <w:rsid w:val="3C717A23"/>
    <w:rsid w:val="3CA241E6"/>
    <w:rsid w:val="3CB07E36"/>
    <w:rsid w:val="3CDBD495"/>
    <w:rsid w:val="3D906527"/>
    <w:rsid w:val="3DE5B0E0"/>
    <w:rsid w:val="3E5917E4"/>
    <w:rsid w:val="3EDEAEF0"/>
    <w:rsid w:val="3EEF3E3D"/>
    <w:rsid w:val="3F2FC4C6"/>
    <w:rsid w:val="4048771B"/>
    <w:rsid w:val="406C3C2B"/>
    <w:rsid w:val="40F72628"/>
    <w:rsid w:val="4192399A"/>
    <w:rsid w:val="427D0AD9"/>
    <w:rsid w:val="42B030CA"/>
    <w:rsid w:val="43D8615A"/>
    <w:rsid w:val="446AEABE"/>
    <w:rsid w:val="449B8C5E"/>
    <w:rsid w:val="44BA5FFA"/>
    <w:rsid w:val="44DC05D2"/>
    <w:rsid w:val="456E6F75"/>
    <w:rsid w:val="458108DB"/>
    <w:rsid w:val="46486745"/>
    <w:rsid w:val="46B51055"/>
    <w:rsid w:val="47501C1F"/>
    <w:rsid w:val="476A3B04"/>
    <w:rsid w:val="477D604A"/>
    <w:rsid w:val="47F80F4C"/>
    <w:rsid w:val="48ACF55C"/>
    <w:rsid w:val="49EF4B46"/>
    <w:rsid w:val="4A1B0BF7"/>
    <w:rsid w:val="4AE26C5F"/>
    <w:rsid w:val="4AF7AE38"/>
    <w:rsid w:val="4B45B1A4"/>
    <w:rsid w:val="4B4FFB07"/>
    <w:rsid w:val="4B833A37"/>
    <w:rsid w:val="4BBDBE69"/>
    <w:rsid w:val="4BD147CB"/>
    <w:rsid w:val="4C802380"/>
    <w:rsid w:val="4CC6195C"/>
    <w:rsid w:val="4CF4CB17"/>
    <w:rsid w:val="4DA8E9D5"/>
    <w:rsid w:val="4DF6C709"/>
    <w:rsid w:val="50066357"/>
    <w:rsid w:val="5046C13C"/>
    <w:rsid w:val="50C584B9"/>
    <w:rsid w:val="511AC95B"/>
    <w:rsid w:val="517A7E2D"/>
    <w:rsid w:val="5191A543"/>
    <w:rsid w:val="52B089E7"/>
    <w:rsid w:val="52CE7869"/>
    <w:rsid w:val="538D39E2"/>
    <w:rsid w:val="53DB9EE0"/>
    <w:rsid w:val="5741F8F7"/>
    <w:rsid w:val="58FF80EC"/>
    <w:rsid w:val="594F2651"/>
    <w:rsid w:val="59690312"/>
    <w:rsid w:val="59C81525"/>
    <w:rsid w:val="5A54B943"/>
    <w:rsid w:val="5A8C8FAF"/>
    <w:rsid w:val="5AF66E4C"/>
    <w:rsid w:val="5B8EABF8"/>
    <w:rsid w:val="5CDEA22B"/>
    <w:rsid w:val="5CE90C1C"/>
    <w:rsid w:val="5DA7BAF5"/>
    <w:rsid w:val="5DE49616"/>
    <w:rsid w:val="5E33C8D4"/>
    <w:rsid w:val="5E522DF1"/>
    <w:rsid w:val="5E708E42"/>
    <w:rsid w:val="5E76A722"/>
    <w:rsid w:val="61628A63"/>
    <w:rsid w:val="61943438"/>
    <w:rsid w:val="61C290B8"/>
    <w:rsid w:val="61FF73EA"/>
    <w:rsid w:val="620DCEC5"/>
    <w:rsid w:val="6213BE3D"/>
    <w:rsid w:val="6325BA2E"/>
    <w:rsid w:val="64328AF3"/>
    <w:rsid w:val="64B2AC9D"/>
    <w:rsid w:val="64F039EB"/>
    <w:rsid w:val="6673FCE6"/>
    <w:rsid w:val="66911D34"/>
    <w:rsid w:val="67EA4D5F"/>
    <w:rsid w:val="68495F3E"/>
    <w:rsid w:val="68D0ADC7"/>
    <w:rsid w:val="690EC35C"/>
    <w:rsid w:val="6925303A"/>
    <w:rsid w:val="6925EEF6"/>
    <w:rsid w:val="696EC28B"/>
    <w:rsid w:val="69861DC0"/>
    <w:rsid w:val="69D9B7AB"/>
    <w:rsid w:val="6A8A4483"/>
    <w:rsid w:val="6A9891E4"/>
    <w:rsid w:val="6AE5AF35"/>
    <w:rsid w:val="6AFD8465"/>
    <w:rsid w:val="6C081FC2"/>
    <w:rsid w:val="6C0D0506"/>
    <w:rsid w:val="6C3667A7"/>
    <w:rsid w:val="6C8B3567"/>
    <w:rsid w:val="6D4789EC"/>
    <w:rsid w:val="6D7BA32D"/>
    <w:rsid w:val="6D86D5A2"/>
    <w:rsid w:val="6E4400F7"/>
    <w:rsid w:val="6E66E7B0"/>
    <w:rsid w:val="6EBD91AB"/>
    <w:rsid w:val="6EF0BC58"/>
    <w:rsid w:val="6F083E22"/>
    <w:rsid w:val="6F76F4DB"/>
    <w:rsid w:val="6FADE935"/>
    <w:rsid w:val="6FF55F44"/>
    <w:rsid w:val="700D46B9"/>
    <w:rsid w:val="7066C4AD"/>
    <w:rsid w:val="70D38F7B"/>
    <w:rsid w:val="71912FA5"/>
    <w:rsid w:val="725716D1"/>
    <w:rsid w:val="72F3F0DF"/>
    <w:rsid w:val="732D0006"/>
    <w:rsid w:val="739EC1A6"/>
    <w:rsid w:val="743C0AFE"/>
    <w:rsid w:val="747D65BD"/>
    <w:rsid w:val="749E6909"/>
    <w:rsid w:val="7504CD62"/>
    <w:rsid w:val="75A5E283"/>
    <w:rsid w:val="7619C12C"/>
    <w:rsid w:val="766C23E1"/>
    <w:rsid w:val="76D66268"/>
    <w:rsid w:val="7759823A"/>
    <w:rsid w:val="77F2EEF0"/>
    <w:rsid w:val="785402D8"/>
    <w:rsid w:val="78A899F9"/>
    <w:rsid w:val="78BCBBF8"/>
    <w:rsid w:val="78E79E5C"/>
    <w:rsid w:val="794A7225"/>
    <w:rsid w:val="796E9D50"/>
    <w:rsid w:val="7A560092"/>
    <w:rsid w:val="7C1357C3"/>
    <w:rsid w:val="7C6F8F8F"/>
    <w:rsid w:val="7C75B7B1"/>
    <w:rsid w:val="7CB98C2F"/>
    <w:rsid w:val="7D79D2E5"/>
    <w:rsid w:val="7E49304F"/>
    <w:rsid w:val="7E66ADDE"/>
    <w:rsid w:val="7FAFDBC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32954F"/>
  <w15:docId w15:val="{6B6D8903-15EA-4CAB-AC26-8771E2126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154F"/>
  </w:style>
  <w:style w:type="paragraph" w:styleId="Heading1">
    <w:name w:val="heading 1"/>
    <w:basedOn w:val="TOC1"/>
    <w:next w:val="Normal"/>
    <w:link w:val="Heading1Char"/>
    <w:uiPriority w:val="9"/>
    <w:qFormat/>
    <w:rsid w:val="00C23C64"/>
    <w:pPr>
      <w:tabs>
        <w:tab w:val="left" w:pos="1260"/>
      </w:tabs>
      <w:spacing w:before="0"/>
      <w:jc w:val="center"/>
      <w:outlineLvl w:val="0"/>
    </w:pPr>
    <w:rPr>
      <w:caps w:val="0"/>
      <w:sz w:val="52"/>
      <w:szCs w:val="52"/>
    </w:rPr>
  </w:style>
  <w:style w:type="paragraph" w:styleId="Heading2">
    <w:name w:val="heading 2"/>
    <w:basedOn w:val="BlueprintText"/>
    <w:next w:val="Normal"/>
    <w:link w:val="Heading2Char"/>
    <w:uiPriority w:val="9"/>
    <w:unhideWhenUsed/>
    <w:qFormat/>
    <w:rsid w:val="00C23C64"/>
    <w:pPr>
      <w:outlineLvl w:val="1"/>
    </w:pPr>
    <w:rPr>
      <w:b/>
      <w:bCs/>
      <w:lang w:eastAsia="ja-JP"/>
    </w:rPr>
  </w:style>
  <w:style w:type="paragraph" w:styleId="Heading3">
    <w:name w:val="heading 3"/>
    <w:basedOn w:val="BlueprintText"/>
    <w:next w:val="Normal"/>
    <w:link w:val="Heading3Char"/>
    <w:uiPriority w:val="9"/>
    <w:unhideWhenUsed/>
    <w:qFormat/>
    <w:rsid w:val="00C23C64"/>
    <w:pPr>
      <w:numPr>
        <w:numId w:val="3"/>
      </w:numPr>
      <w:ind w:left="720" w:hanging="720"/>
      <w:outlineLvl w:val="2"/>
    </w:pPr>
    <w:rPr>
      <w:b/>
    </w:rPr>
  </w:style>
  <w:style w:type="paragraph" w:styleId="Heading4">
    <w:name w:val="heading 4"/>
    <w:basedOn w:val="BlueprintText"/>
    <w:next w:val="Normal"/>
    <w:link w:val="Heading4Char"/>
    <w:uiPriority w:val="9"/>
    <w:unhideWhenUsed/>
    <w:qFormat/>
    <w:rsid w:val="00C23C64"/>
    <w:pPr>
      <w:outlineLvl w:val="3"/>
    </w:pPr>
  </w:style>
  <w:style w:type="paragraph" w:styleId="Heading5">
    <w:name w:val="heading 5"/>
    <w:basedOn w:val="Heading4"/>
    <w:next w:val="Normal"/>
    <w:link w:val="Heading5Char"/>
    <w:uiPriority w:val="9"/>
    <w:unhideWhenUsed/>
    <w:qFormat/>
    <w:rsid w:val="00D273FE"/>
    <w:pPr>
      <w:outlineLvl w:val="4"/>
    </w:pPr>
  </w:style>
  <w:style w:type="paragraph" w:styleId="Heading6">
    <w:name w:val="heading 6"/>
    <w:basedOn w:val="Heading5"/>
    <w:next w:val="Normal"/>
    <w:link w:val="Heading6Char"/>
    <w:uiPriority w:val="9"/>
    <w:unhideWhenUsed/>
    <w:qFormat/>
    <w:rsid w:val="00D273FE"/>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4A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4ABA"/>
    <w:rPr>
      <w:rFonts w:ascii="Segoe UI" w:hAnsi="Segoe UI" w:cs="Segoe UI"/>
      <w:sz w:val="18"/>
      <w:szCs w:val="18"/>
    </w:rPr>
  </w:style>
  <w:style w:type="paragraph" w:customStyle="1" w:styleId="BlueprintText">
    <w:name w:val="Blueprint Text"/>
    <w:basedOn w:val="Normal"/>
    <w:qFormat/>
    <w:rsid w:val="00794ABA"/>
    <w:pPr>
      <w:spacing w:line="240" w:lineRule="auto"/>
    </w:pPr>
  </w:style>
  <w:style w:type="character" w:styleId="CommentReference">
    <w:name w:val="annotation reference"/>
    <w:basedOn w:val="DefaultParagraphFont"/>
    <w:uiPriority w:val="99"/>
    <w:semiHidden/>
    <w:unhideWhenUsed/>
    <w:rsid w:val="00794ABA"/>
    <w:rPr>
      <w:sz w:val="16"/>
      <w:szCs w:val="16"/>
    </w:rPr>
  </w:style>
  <w:style w:type="paragraph" w:styleId="CommentText">
    <w:name w:val="annotation text"/>
    <w:basedOn w:val="Normal"/>
    <w:link w:val="CommentTextChar"/>
    <w:uiPriority w:val="99"/>
    <w:unhideWhenUsed/>
    <w:rsid w:val="00794ABA"/>
    <w:pPr>
      <w:spacing w:before="240" w:after="120" w:line="240" w:lineRule="auto"/>
    </w:pPr>
    <w:rPr>
      <w:sz w:val="20"/>
      <w:szCs w:val="20"/>
    </w:rPr>
  </w:style>
  <w:style w:type="character" w:customStyle="1" w:styleId="CommentTextChar">
    <w:name w:val="Comment Text Char"/>
    <w:basedOn w:val="DefaultParagraphFont"/>
    <w:link w:val="CommentText"/>
    <w:uiPriority w:val="99"/>
    <w:rsid w:val="00794ABA"/>
    <w:rPr>
      <w:sz w:val="20"/>
      <w:szCs w:val="20"/>
    </w:rPr>
  </w:style>
  <w:style w:type="character" w:styleId="Hyperlink">
    <w:name w:val="Hyperlink"/>
    <w:basedOn w:val="DefaultParagraphFont"/>
    <w:uiPriority w:val="99"/>
    <w:unhideWhenUsed/>
    <w:qFormat/>
    <w:rsid w:val="00794ABA"/>
    <w:rPr>
      <w:color w:val="0563C1" w:themeColor="hyperlink"/>
      <w:u w:val="single"/>
    </w:rPr>
  </w:style>
  <w:style w:type="paragraph" w:styleId="FootnoteText">
    <w:name w:val="footnote text"/>
    <w:basedOn w:val="Normal"/>
    <w:link w:val="FootnoteTextChar"/>
    <w:uiPriority w:val="99"/>
    <w:unhideWhenUsed/>
    <w:qFormat/>
    <w:rsid w:val="00794ABA"/>
    <w:pPr>
      <w:spacing w:after="0" w:line="240" w:lineRule="auto"/>
    </w:pPr>
    <w:rPr>
      <w:rFonts w:ascii="Calibri Light" w:hAnsi="Calibri Light"/>
      <w:sz w:val="16"/>
      <w:szCs w:val="20"/>
    </w:rPr>
  </w:style>
  <w:style w:type="character" w:customStyle="1" w:styleId="FootnoteTextChar">
    <w:name w:val="Footnote Text Char"/>
    <w:basedOn w:val="DefaultParagraphFont"/>
    <w:link w:val="FootnoteText"/>
    <w:uiPriority w:val="99"/>
    <w:rsid w:val="00794ABA"/>
    <w:rPr>
      <w:rFonts w:ascii="Calibri Light" w:hAnsi="Calibri Light"/>
      <w:sz w:val="16"/>
      <w:szCs w:val="20"/>
    </w:rPr>
  </w:style>
  <w:style w:type="character" w:styleId="FootnoteReference">
    <w:name w:val="footnote reference"/>
    <w:basedOn w:val="DefaultParagraphFont"/>
    <w:uiPriority w:val="99"/>
    <w:unhideWhenUsed/>
    <w:qFormat/>
    <w:rsid w:val="00794ABA"/>
    <w:rPr>
      <w:vertAlign w:val="superscript"/>
    </w:rPr>
  </w:style>
  <w:style w:type="paragraph" w:customStyle="1" w:styleId="paragraph">
    <w:name w:val="paragraph"/>
    <w:basedOn w:val="Normal"/>
    <w:rsid w:val="00794ABA"/>
    <w:pPr>
      <w:spacing w:after="0" w:line="240" w:lineRule="auto"/>
    </w:pPr>
    <w:rPr>
      <w:rFonts w:ascii="Times New Roman" w:eastAsia="Times New Roman" w:hAnsi="Times New Roman" w:cs="Times New Roman"/>
      <w:sz w:val="24"/>
      <w:szCs w:val="24"/>
    </w:rPr>
  </w:style>
  <w:style w:type="paragraph" w:styleId="ListBullet">
    <w:name w:val="List Bullet"/>
    <w:basedOn w:val="Normal"/>
    <w:uiPriority w:val="99"/>
    <w:unhideWhenUsed/>
    <w:rsid w:val="00794ABA"/>
    <w:pPr>
      <w:numPr>
        <w:numId w:val="2"/>
      </w:numPr>
      <w:spacing w:line="240" w:lineRule="auto"/>
      <w:contextualSpacing/>
    </w:pPr>
  </w:style>
  <w:style w:type="paragraph" w:styleId="ListBullet2">
    <w:name w:val="List Bullet 2"/>
    <w:basedOn w:val="ListBullet"/>
    <w:uiPriority w:val="99"/>
    <w:unhideWhenUsed/>
    <w:rsid w:val="00794ABA"/>
    <w:pPr>
      <w:numPr>
        <w:ilvl w:val="1"/>
      </w:numPr>
    </w:pPr>
  </w:style>
  <w:style w:type="paragraph" w:styleId="ListBullet3">
    <w:name w:val="List Bullet 3"/>
    <w:basedOn w:val="ListBullet2"/>
    <w:uiPriority w:val="99"/>
    <w:unhideWhenUsed/>
    <w:rsid w:val="00794ABA"/>
    <w:pPr>
      <w:numPr>
        <w:ilvl w:val="2"/>
      </w:numPr>
      <w:ind w:left="1440"/>
    </w:pPr>
  </w:style>
  <w:style w:type="paragraph" w:styleId="Header">
    <w:name w:val="header"/>
    <w:basedOn w:val="Normal"/>
    <w:link w:val="HeaderChar"/>
    <w:uiPriority w:val="99"/>
    <w:unhideWhenUsed/>
    <w:rsid w:val="00794A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4ABA"/>
  </w:style>
  <w:style w:type="paragraph" w:styleId="Footer">
    <w:name w:val="footer"/>
    <w:basedOn w:val="Normal"/>
    <w:link w:val="FooterChar"/>
    <w:uiPriority w:val="99"/>
    <w:unhideWhenUsed/>
    <w:rsid w:val="00794A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4ABA"/>
  </w:style>
  <w:style w:type="table" w:styleId="TableGrid">
    <w:name w:val="Table Grid"/>
    <w:basedOn w:val="TableNormal"/>
    <w:uiPriority w:val="39"/>
    <w:rsid w:val="00794ABA"/>
    <w:pPr>
      <w:spacing w:after="0" w:line="240" w:lineRule="auto"/>
    </w:pPr>
    <w:rPr>
      <w:rFonts w:eastAsia="SimSu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52DAB"/>
    <w:pPr>
      <w:spacing w:before="0" w:after="160"/>
    </w:pPr>
    <w:rPr>
      <w:b/>
      <w:bCs/>
    </w:rPr>
  </w:style>
  <w:style w:type="character" w:customStyle="1" w:styleId="CommentSubjectChar">
    <w:name w:val="Comment Subject Char"/>
    <w:basedOn w:val="CommentTextChar"/>
    <w:link w:val="CommentSubject"/>
    <w:uiPriority w:val="99"/>
    <w:semiHidden/>
    <w:rsid w:val="00652DAB"/>
    <w:rPr>
      <w:b/>
      <w:bCs/>
      <w:sz w:val="20"/>
      <w:szCs w:val="20"/>
    </w:rPr>
  </w:style>
  <w:style w:type="character" w:customStyle="1" w:styleId="Heading5Char">
    <w:name w:val="Heading 5 Char"/>
    <w:basedOn w:val="DefaultParagraphFont"/>
    <w:link w:val="Heading5"/>
    <w:uiPriority w:val="9"/>
    <w:rsid w:val="00D273FE"/>
  </w:style>
  <w:style w:type="paragraph" w:styleId="Revision">
    <w:name w:val="Revision"/>
    <w:hidden/>
    <w:uiPriority w:val="99"/>
    <w:semiHidden/>
    <w:rsid w:val="00CB1AF2"/>
    <w:pPr>
      <w:spacing w:after="0" w:line="240" w:lineRule="auto"/>
    </w:pPr>
  </w:style>
  <w:style w:type="character" w:styleId="FollowedHyperlink">
    <w:name w:val="FollowedHyperlink"/>
    <w:basedOn w:val="DefaultParagraphFont"/>
    <w:uiPriority w:val="99"/>
    <w:semiHidden/>
    <w:unhideWhenUsed/>
    <w:rsid w:val="00B5270C"/>
    <w:rPr>
      <w:color w:val="954F72" w:themeColor="followedHyperlink"/>
      <w:u w:val="single"/>
    </w:rPr>
  </w:style>
  <w:style w:type="paragraph" w:styleId="TOC1">
    <w:name w:val="toc 1"/>
    <w:basedOn w:val="Normal"/>
    <w:next w:val="Normal"/>
    <w:uiPriority w:val="39"/>
    <w:unhideWhenUsed/>
    <w:rsid w:val="00554BD5"/>
    <w:pPr>
      <w:tabs>
        <w:tab w:val="left" w:pos="720"/>
        <w:tab w:val="right" w:leader="dot" w:pos="9360"/>
      </w:tabs>
      <w:spacing w:before="240" w:after="0" w:line="240" w:lineRule="auto"/>
    </w:pPr>
    <w:rPr>
      <w:b/>
      <w:caps/>
    </w:rPr>
  </w:style>
  <w:style w:type="character" w:customStyle="1" w:styleId="UnresolvedMention1">
    <w:name w:val="Unresolved Mention1"/>
    <w:basedOn w:val="DefaultParagraphFont"/>
    <w:uiPriority w:val="99"/>
    <w:semiHidden/>
    <w:unhideWhenUsed/>
    <w:rsid w:val="008F6972"/>
    <w:rPr>
      <w:color w:val="605E5C"/>
      <w:shd w:val="clear" w:color="auto" w:fill="E1DFDD"/>
    </w:rPr>
  </w:style>
  <w:style w:type="character" w:styleId="PlaceholderText">
    <w:name w:val="Placeholder Text"/>
    <w:basedOn w:val="DefaultParagraphFont"/>
    <w:uiPriority w:val="99"/>
    <w:semiHidden/>
    <w:rsid w:val="006F778C"/>
    <w:rPr>
      <w:color w:val="808080"/>
    </w:rPr>
  </w:style>
  <w:style w:type="character" w:customStyle="1" w:styleId="BlackUnderline">
    <w:name w:val="Black Underline"/>
    <w:basedOn w:val="DefaultParagraphFont"/>
    <w:uiPriority w:val="1"/>
    <w:rsid w:val="00836ABC"/>
    <w:rPr>
      <w:color w:val="auto"/>
      <w:u w:val="single"/>
    </w:rPr>
  </w:style>
  <w:style w:type="character" w:customStyle="1" w:styleId="Heading1Char">
    <w:name w:val="Heading 1 Char"/>
    <w:basedOn w:val="DefaultParagraphFont"/>
    <w:link w:val="Heading1"/>
    <w:uiPriority w:val="9"/>
    <w:rsid w:val="00C23C64"/>
    <w:rPr>
      <w:b/>
      <w:sz w:val="52"/>
      <w:szCs w:val="52"/>
    </w:rPr>
  </w:style>
  <w:style w:type="character" w:customStyle="1" w:styleId="UnresolvedMention2">
    <w:name w:val="Unresolved Mention2"/>
    <w:basedOn w:val="DefaultParagraphFont"/>
    <w:uiPriority w:val="99"/>
    <w:semiHidden/>
    <w:unhideWhenUsed/>
    <w:rsid w:val="008A342D"/>
    <w:rPr>
      <w:color w:val="605E5C"/>
      <w:shd w:val="clear" w:color="auto" w:fill="E1DFDD"/>
    </w:rPr>
  </w:style>
  <w:style w:type="paragraph" w:styleId="ListParagraph">
    <w:name w:val="List Paragraph"/>
    <w:aliases w:val="Bulleted List Level 1,Numbered List"/>
    <w:basedOn w:val="Normal"/>
    <w:link w:val="ListParagraphChar"/>
    <w:uiPriority w:val="34"/>
    <w:qFormat/>
    <w:rsid w:val="00E15271"/>
    <w:pPr>
      <w:spacing w:after="0" w:line="240" w:lineRule="auto"/>
      <w:ind w:left="720"/>
    </w:pPr>
    <w:rPr>
      <w:rFonts w:ascii="Calibri" w:hAnsi="Calibri" w:cs="Times New Roman"/>
    </w:rPr>
  </w:style>
  <w:style w:type="character" w:styleId="UnresolvedMention">
    <w:name w:val="Unresolved Mention"/>
    <w:basedOn w:val="DefaultParagraphFont"/>
    <w:uiPriority w:val="99"/>
    <w:semiHidden/>
    <w:unhideWhenUsed/>
    <w:rsid w:val="007B23F3"/>
    <w:rPr>
      <w:color w:val="605E5C"/>
      <w:shd w:val="clear" w:color="auto" w:fill="E1DFDD"/>
    </w:rPr>
  </w:style>
  <w:style w:type="character" w:customStyle="1" w:styleId="StylePlaceholderTextLatinBodyCalibriUnderline">
    <w:name w:val="Style Placeholder Text + (Latin) +Body (Calibri) Underline"/>
    <w:basedOn w:val="PlaceholderText"/>
    <w:rsid w:val="0040125A"/>
    <w:rPr>
      <w:rFonts w:asciiTheme="minorHAnsi" w:hAnsiTheme="minorHAnsi"/>
      <w:color w:val="808080"/>
      <w:sz w:val="22"/>
      <w:u w:val="single"/>
    </w:rPr>
  </w:style>
  <w:style w:type="character" w:customStyle="1" w:styleId="normaltextrun">
    <w:name w:val="normaltextrun"/>
    <w:basedOn w:val="DefaultParagraphFont"/>
    <w:rsid w:val="004C28D0"/>
  </w:style>
  <w:style w:type="character" w:customStyle="1" w:styleId="eop">
    <w:name w:val="eop"/>
    <w:basedOn w:val="DefaultParagraphFont"/>
    <w:rsid w:val="009E5834"/>
  </w:style>
  <w:style w:type="character" w:customStyle="1" w:styleId="Heading3Char">
    <w:name w:val="Heading 3 Char"/>
    <w:basedOn w:val="DefaultParagraphFont"/>
    <w:link w:val="Heading3"/>
    <w:uiPriority w:val="9"/>
    <w:rsid w:val="00C23C64"/>
    <w:rPr>
      <w:b/>
    </w:rPr>
  </w:style>
  <w:style w:type="paragraph" w:styleId="Caption">
    <w:name w:val="caption"/>
    <w:basedOn w:val="Normal"/>
    <w:next w:val="Normal"/>
    <w:uiPriority w:val="35"/>
    <w:unhideWhenUsed/>
    <w:qFormat/>
    <w:rsid w:val="00DB45A4"/>
    <w:pPr>
      <w:spacing w:after="200" w:line="240" w:lineRule="auto"/>
    </w:pPr>
    <w:rPr>
      <w:i/>
      <w:iCs/>
      <w:color w:val="44546A" w:themeColor="text2"/>
      <w:sz w:val="18"/>
      <w:szCs w:val="18"/>
    </w:rPr>
  </w:style>
  <w:style w:type="character" w:customStyle="1" w:styleId="ui-provider">
    <w:name w:val="ui-provider"/>
    <w:basedOn w:val="DefaultParagraphFont"/>
    <w:rsid w:val="00DB45A4"/>
  </w:style>
  <w:style w:type="character" w:styleId="Mention">
    <w:name w:val="Mention"/>
    <w:basedOn w:val="DefaultParagraphFont"/>
    <w:uiPriority w:val="99"/>
    <w:unhideWhenUsed/>
    <w:rsid w:val="009F0398"/>
    <w:rPr>
      <w:color w:val="2B579A"/>
      <w:shd w:val="clear" w:color="auto" w:fill="E1DFDD"/>
    </w:rPr>
  </w:style>
  <w:style w:type="paragraph" w:styleId="EndnoteText">
    <w:name w:val="endnote text"/>
    <w:basedOn w:val="Normal"/>
    <w:link w:val="EndnoteTextChar"/>
    <w:uiPriority w:val="99"/>
    <w:semiHidden/>
    <w:unhideWhenUsed/>
    <w:rsid w:val="00A620C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620CE"/>
    <w:rPr>
      <w:sz w:val="20"/>
      <w:szCs w:val="20"/>
    </w:rPr>
  </w:style>
  <w:style w:type="character" w:styleId="EndnoteReference">
    <w:name w:val="endnote reference"/>
    <w:basedOn w:val="DefaultParagraphFont"/>
    <w:uiPriority w:val="99"/>
    <w:semiHidden/>
    <w:unhideWhenUsed/>
    <w:rsid w:val="00A620CE"/>
    <w:rPr>
      <w:vertAlign w:val="superscript"/>
    </w:rPr>
  </w:style>
  <w:style w:type="character" w:customStyle="1" w:styleId="Heading2Char">
    <w:name w:val="Heading 2 Char"/>
    <w:basedOn w:val="DefaultParagraphFont"/>
    <w:link w:val="Heading2"/>
    <w:uiPriority w:val="9"/>
    <w:rsid w:val="00C23C64"/>
    <w:rPr>
      <w:b/>
      <w:bCs/>
      <w:lang w:eastAsia="ja-JP"/>
    </w:rPr>
  </w:style>
  <w:style w:type="character" w:customStyle="1" w:styleId="Heading4Char">
    <w:name w:val="Heading 4 Char"/>
    <w:basedOn w:val="DefaultParagraphFont"/>
    <w:link w:val="Heading4"/>
    <w:uiPriority w:val="9"/>
    <w:rsid w:val="00C23C64"/>
  </w:style>
  <w:style w:type="character" w:customStyle="1" w:styleId="Heading6Char">
    <w:name w:val="Heading 6 Char"/>
    <w:basedOn w:val="DefaultParagraphFont"/>
    <w:link w:val="Heading6"/>
    <w:uiPriority w:val="9"/>
    <w:rsid w:val="00D273FE"/>
  </w:style>
  <w:style w:type="paragraph" w:styleId="BodyText">
    <w:name w:val="Body Text"/>
    <w:basedOn w:val="Normal"/>
    <w:link w:val="BodyTextChar"/>
    <w:uiPriority w:val="1"/>
    <w:qFormat/>
    <w:rsid w:val="003B2848"/>
    <w:pPr>
      <w:widowControl w:val="0"/>
      <w:spacing w:after="110" w:line="252" w:lineRule="auto"/>
      <w:outlineLvl w:val="1"/>
    </w:pPr>
    <w:rPr>
      <w:rFonts w:ascii="Calibri" w:eastAsia="Calibri" w:hAnsi="Calibri"/>
      <w:sz w:val="24"/>
      <w:szCs w:val="24"/>
    </w:rPr>
  </w:style>
  <w:style w:type="character" w:customStyle="1" w:styleId="BodyTextChar">
    <w:name w:val="Body Text Char"/>
    <w:basedOn w:val="DefaultParagraphFont"/>
    <w:link w:val="BodyText"/>
    <w:uiPriority w:val="1"/>
    <w:rsid w:val="003B2848"/>
    <w:rPr>
      <w:rFonts w:ascii="Calibri" w:eastAsia="Calibri" w:hAnsi="Calibri"/>
      <w:sz w:val="24"/>
      <w:szCs w:val="24"/>
    </w:rPr>
  </w:style>
  <w:style w:type="paragraph" w:customStyle="1" w:styleId="TableParagraph">
    <w:name w:val="Table Paragraph"/>
    <w:basedOn w:val="Normal"/>
    <w:uiPriority w:val="1"/>
    <w:qFormat/>
    <w:rsid w:val="00A2288E"/>
    <w:pPr>
      <w:widowControl w:val="0"/>
      <w:autoSpaceDE w:val="0"/>
      <w:autoSpaceDN w:val="0"/>
      <w:spacing w:after="0" w:line="240" w:lineRule="auto"/>
      <w:ind w:left="6"/>
    </w:pPr>
    <w:rPr>
      <w:rFonts w:ascii="Calibri" w:eastAsia="Calibri" w:hAnsi="Calibri" w:cs="Calibri"/>
    </w:rPr>
  </w:style>
  <w:style w:type="character" w:customStyle="1" w:styleId="ListParagraphChar">
    <w:name w:val="List Paragraph Char"/>
    <w:aliases w:val="Bulleted List Level 1 Char,Numbered List Char"/>
    <w:link w:val="ListParagraph"/>
    <w:uiPriority w:val="34"/>
    <w:rsid w:val="005C66DE"/>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159574">
      <w:bodyDiv w:val="1"/>
      <w:marLeft w:val="0"/>
      <w:marRight w:val="0"/>
      <w:marTop w:val="0"/>
      <w:marBottom w:val="0"/>
      <w:divBdr>
        <w:top w:val="none" w:sz="0" w:space="0" w:color="auto"/>
        <w:left w:val="none" w:sz="0" w:space="0" w:color="auto"/>
        <w:bottom w:val="none" w:sz="0" w:space="0" w:color="auto"/>
        <w:right w:val="none" w:sz="0" w:space="0" w:color="auto"/>
      </w:divBdr>
      <w:divsChild>
        <w:div w:id="1182401393">
          <w:marLeft w:val="0"/>
          <w:marRight w:val="0"/>
          <w:marTop w:val="0"/>
          <w:marBottom w:val="0"/>
          <w:divBdr>
            <w:top w:val="none" w:sz="0" w:space="0" w:color="auto"/>
            <w:left w:val="none" w:sz="0" w:space="0" w:color="auto"/>
            <w:bottom w:val="none" w:sz="0" w:space="0" w:color="auto"/>
            <w:right w:val="none" w:sz="0" w:space="0" w:color="auto"/>
          </w:divBdr>
        </w:div>
        <w:div w:id="1789468966">
          <w:marLeft w:val="0"/>
          <w:marRight w:val="0"/>
          <w:marTop w:val="0"/>
          <w:marBottom w:val="0"/>
          <w:divBdr>
            <w:top w:val="none" w:sz="0" w:space="0" w:color="auto"/>
            <w:left w:val="none" w:sz="0" w:space="0" w:color="auto"/>
            <w:bottom w:val="none" w:sz="0" w:space="0" w:color="auto"/>
            <w:right w:val="none" w:sz="0" w:space="0" w:color="auto"/>
          </w:divBdr>
        </w:div>
      </w:divsChild>
    </w:div>
    <w:div w:id="106701064">
      <w:bodyDiv w:val="1"/>
      <w:marLeft w:val="0"/>
      <w:marRight w:val="0"/>
      <w:marTop w:val="0"/>
      <w:marBottom w:val="0"/>
      <w:divBdr>
        <w:top w:val="none" w:sz="0" w:space="0" w:color="auto"/>
        <w:left w:val="none" w:sz="0" w:space="0" w:color="auto"/>
        <w:bottom w:val="none" w:sz="0" w:space="0" w:color="auto"/>
        <w:right w:val="none" w:sz="0" w:space="0" w:color="auto"/>
      </w:divBdr>
    </w:div>
    <w:div w:id="128135420">
      <w:bodyDiv w:val="1"/>
      <w:marLeft w:val="0"/>
      <w:marRight w:val="0"/>
      <w:marTop w:val="0"/>
      <w:marBottom w:val="0"/>
      <w:divBdr>
        <w:top w:val="none" w:sz="0" w:space="0" w:color="auto"/>
        <w:left w:val="none" w:sz="0" w:space="0" w:color="auto"/>
        <w:bottom w:val="none" w:sz="0" w:space="0" w:color="auto"/>
        <w:right w:val="none" w:sz="0" w:space="0" w:color="auto"/>
      </w:divBdr>
      <w:divsChild>
        <w:div w:id="937174856">
          <w:marLeft w:val="0"/>
          <w:marRight w:val="0"/>
          <w:marTop w:val="0"/>
          <w:marBottom w:val="0"/>
          <w:divBdr>
            <w:top w:val="none" w:sz="0" w:space="0" w:color="auto"/>
            <w:left w:val="none" w:sz="0" w:space="0" w:color="auto"/>
            <w:bottom w:val="none" w:sz="0" w:space="0" w:color="auto"/>
            <w:right w:val="none" w:sz="0" w:space="0" w:color="auto"/>
          </w:divBdr>
        </w:div>
        <w:div w:id="1038622263">
          <w:marLeft w:val="0"/>
          <w:marRight w:val="0"/>
          <w:marTop w:val="0"/>
          <w:marBottom w:val="0"/>
          <w:divBdr>
            <w:top w:val="none" w:sz="0" w:space="0" w:color="auto"/>
            <w:left w:val="none" w:sz="0" w:space="0" w:color="auto"/>
            <w:bottom w:val="none" w:sz="0" w:space="0" w:color="auto"/>
            <w:right w:val="none" w:sz="0" w:space="0" w:color="auto"/>
          </w:divBdr>
        </w:div>
      </w:divsChild>
    </w:div>
    <w:div w:id="189145729">
      <w:bodyDiv w:val="1"/>
      <w:marLeft w:val="0"/>
      <w:marRight w:val="0"/>
      <w:marTop w:val="0"/>
      <w:marBottom w:val="0"/>
      <w:divBdr>
        <w:top w:val="none" w:sz="0" w:space="0" w:color="auto"/>
        <w:left w:val="none" w:sz="0" w:space="0" w:color="auto"/>
        <w:bottom w:val="none" w:sz="0" w:space="0" w:color="auto"/>
        <w:right w:val="none" w:sz="0" w:space="0" w:color="auto"/>
      </w:divBdr>
      <w:divsChild>
        <w:div w:id="92939834">
          <w:marLeft w:val="0"/>
          <w:marRight w:val="0"/>
          <w:marTop w:val="0"/>
          <w:marBottom w:val="0"/>
          <w:divBdr>
            <w:top w:val="none" w:sz="0" w:space="0" w:color="auto"/>
            <w:left w:val="none" w:sz="0" w:space="0" w:color="auto"/>
            <w:bottom w:val="none" w:sz="0" w:space="0" w:color="auto"/>
            <w:right w:val="none" w:sz="0" w:space="0" w:color="auto"/>
          </w:divBdr>
        </w:div>
        <w:div w:id="1008405842">
          <w:marLeft w:val="0"/>
          <w:marRight w:val="0"/>
          <w:marTop w:val="0"/>
          <w:marBottom w:val="0"/>
          <w:divBdr>
            <w:top w:val="none" w:sz="0" w:space="0" w:color="auto"/>
            <w:left w:val="none" w:sz="0" w:space="0" w:color="auto"/>
            <w:bottom w:val="none" w:sz="0" w:space="0" w:color="auto"/>
            <w:right w:val="none" w:sz="0" w:space="0" w:color="auto"/>
          </w:divBdr>
        </w:div>
      </w:divsChild>
    </w:div>
    <w:div w:id="200048576">
      <w:bodyDiv w:val="1"/>
      <w:marLeft w:val="0"/>
      <w:marRight w:val="0"/>
      <w:marTop w:val="0"/>
      <w:marBottom w:val="0"/>
      <w:divBdr>
        <w:top w:val="none" w:sz="0" w:space="0" w:color="auto"/>
        <w:left w:val="none" w:sz="0" w:space="0" w:color="auto"/>
        <w:bottom w:val="none" w:sz="0" w:space="0" w:color="auto"/>
        <w:right w:val="none" w:sz="0" w:space="0" w:color="auto"/>
      </w:divBdr>
    </w:div>
    <w:div w:id="213587844">
      <w:bodyDiv w:val="1"/>
      <w:marLeft w:val="0"/>
      <w:marRight w:val="0"/>
      <w:marTop w:val="0"/>
      <w:marBottom w:val="0"/>
      <w:divBdr>
        <w:top w:val="none" w:sz="0" w:space="0" w:color="auto"/>
        <w:left w:val="none" w:sz="0" w:space="0" w:color="auto"/>
        <w:bottom w:val="none" w:sz="0" w:space="0" w:color="auto"/>
        <w:right w:val="none" w:sz="0" w:space="0" w:color="auto"/>
      </w:divBdr>
    </w:div>
    <w:div w:id="331565684">
      <w:bodyDiv w:val="1"/>
      <w:marLeft w:val="0"/>
      <w:marRight w:val="0"/>
      <w:marTop w:val="0"/>
      <w:marBottom w:val="0"/>
      <w:divBdr>
        <w:top w:val="none" w:sz="0" w:space="0" w:color="auto"/>
        <w:left w:val="none" w:sz="0" w:space="0" w:color="auto"/>
        <w:bottom w:val="none" w:sz="0" w:space="0" w:color="auto"/>
        <w:right w:val="none" w:sz="0" w:space="0" w:color="auto"/>
      </w:divBdr>
    </w:div>
    <w:div w:id="432358515">
      <w:bodyDiv w:val="1"/>
      <w:marLeft w:val="0"/>
      <w:marRight w:val="0"/>
      <w:marTop w:val="0"/>
      <w:marBottom w:val="0"/>
      <w:divBdr>
        <w:top w:val="none" w:sz="0" w:space="0" w:color="auto"/>
        <w:left w:val="none" w:sz="0" w:space="0" w:color="auto"/>
        <w:bottom w:val="none" w:sz="0" w:space="0" w:color="auto"/>
        <w:right w:val="none" w:sz="0" w:space="0" w:color="auto"/>
      </w:divBdr>
      <w:divsChild>
        <w:div w:id="704211071">
          <w:marLeft w:val="0"/>
          <w:marRight w:val="0"/>
          <w:marTop w:val="0"/>
          <w:marBottom w:val="0"/>
          <w:divBdr>
            <w:top w:val="none" w:sz="0" w:space="0" w:color="auto"/>
            <w:left w:val="none" w:sz="0" w:space="0" w:color="auto"/>
            <w:bottom w:val="none" w:sz="0" w:space="0" w:color="auto"/>
            <w:right w:val="none" w:sz="0" w:space="0" w:color="auto"/>
          </w:divBdr>
        </w:div>
        <w:div w:id="924799416">
          <w:marLeft w:val="0"/>
          <w:marRight w:val="0"/>
          <w:marTop w:val="0"/>
          <w:marBottom w:val="0"/>
          <w:divBdr>
            <w:top w:val="none" w:sz="0" w:space="0" w:color="auto"/>
            <w:left w:val="none" w:sz="0" w:space="0" w:color="auto"/>
            <w:bottom w:val="none" w:sz="0" w:space="0" w:color="auto"/>
            <w:right w:val="none" w:sz="0" w:space="0" w:color="auto"/>
          </w:divBdr>
        </w:div>
        <w:div w:id="1150289484">
          <w:marLeft w:val="0"/>
          <w:marRight w:val="0"/>
          <w:marTop w:val="0"/>
          <w:marBottom w:val="0"/>
          <w:divBdr>
            <w:top w:val="none" w:sz="0" w:space="0" w:color="auto"/>
            <w:left w:val="none" w:sz="0" w:space="0" w:color="auto"/>
            <w:bottom w:val="none" w:sz="0" w:space="0" w:color="auto"/>
            <w:right w:val="none" w:sz="0" w:space="0" w:color="auto"/>
          </w:divBdr>
          <w:divsChild>
            <w:div w:id="1030649562">
              <w:marLeft w:val="0"/>
              <w:marRight w:val="0"/>
              <w:marTop w:val="30"/>
              <w:marBottom w:val="30"/>
              <w:divBdr>
                <w:top w:val="none" w:sz="0" w:space="0" w:color="auto"/>
                <w:left w:val="none" w:sz="0" w:space="0" w:color="auto"/>
                <w:bottom w:val="none" w:sz="0" w:space="0" w:color="auto"/>
                <w:right w:val="none" w:sz="0" w:space="0" w:color="auto"/>
              </w:divBdr>
              <w:divsChild>
                <w:div w:id="1265381089">
                  <w:marLeft w:val="0"/>
                  <w:marRight w:val="0"/>
                  <w:marTop w:val="0"/>
                  <w:marBottom w:val="0"/>
                  <w:divBdr>
                    <w:top w:val="none" w:sz="0" w:space="0" w:color="auto"/>
                    <w:left w:val="none" w:sz="0" w:space="0" w:color="auto"/>
                    <w:bottom w:val="none" w:sz="0" w:space="0" w:color="auto"/>
                    <w:right w:val="none" w:sz="0" w:space="0" w:color="auto"/>
                  </w:divBdr>
                  <w:divsChild>
                    <w:div w:id="232855922">
                      <w:marLeft w:val="0"/>
                      <w:marRight w:val="0"/>
                      <w:marTop w:val="0"/>
                      <w:marBottom w:val="0"/>
                      <w:divBdr>
                        <w:top w:val="none" w:sz="0" w:space="0" w:color="auto"/>
                        <w:left w:val="none" w:sz="0" w:space="0" w:color="auto"/>
                        <w:bottom w:val="none" w:sz="0" w:space="0" w:color="auto"/>
                        <w:right w:val="none" w:sz="0" w:space="0" w:color="auto"/>
                      </w:divBdr>
                    </w:div>
                  </w:divsChild>
                </w:div>
                <w:div w:id="1634796324">
                  <w:marLeft w:val="0"/>
                  <w:marRight w:val="0"/>
                  <w:marTop w:val="0"/>
                  <w:marBottom w:val="0"/>
                  <w:divBdr>
                    <w:top w:val="none" w:sz="0" w:space="0" w:color="auto"/>
                    <w:left w:val="none" w:sz="0" w:space="0" w:color="auto"/>
                    <w:bottom w:val="none" w:sz="0" w:space="0" w:color="auto"/>
                    <w:right w:val="none" w:sz="0" w:space="0" w:color="auto"/>
                  </w:divBdr>
                  <w:divsChild>
                    <w:div w:id="1553806806">
                      <w:marLeft w:val="0"/>
                      <w:marRight w:val="0"/>
                      <w:marTop w:val="0"/>
                      <w:marBottom w:val="0"/>
                      <w:divBdr>
                        <w:top w:val="none" w:sz="0" w:space="0" w:color="auto"/>
                        <w:left w:val="none" w:sz="0" w:space="0" w:color="auto"/>
                        <w:bottom w:val="none" w:sz="0" w:space="0" w:color="auto"/>
                        <w:right w:val="none" w:sz="0" w:space="0" w:color="auto"/>
                      </w:divBdr>
                    </w:div>
                  </w:divsChild>
                </w:div>
                <w:div w:id="1676374379">
                  <w:marLeft w:val="0"/>
                  <w:marRight w:val="0"/>
                  <w:marTop w:val="0"/>
                  <w:marBottom w:val="0"/>
                  <w:divBdr>
                    <w:top w:val="none" w:sz="0" w:space="0" w:color="auto"/>
                    <w:left w:val="none" w:sz="0" w:space="0" w:color="auto"/>
                    <w:bottom w:val="none" w:sz="0" w:space="0" w:color="auto"/>
                    <w:right w:val="none" w:sz="0" w:space="0" w:color="auto"/>
                  </w:divBdr>
                  <w:divsChild>
                    <w:div w:id="939265511">
                      <w:marLeft w:val="0"/>
                      <w:marRight w:val="0"/>
                      <w:marTop w:val="0"/>
                      <w:marBottom w:val="0"/>
                      <w:divBdr>
                        <w:top w:val="none" w:sz="0" w:space="0" w:color="auto"/>
                        <w:left w:val="none" w:sz="0" w:space="0" w:color="auto"/>
                        <w:bottom w:val="none" w:sz="0" w:space="0" w:color="auto"/>
                        <w:right w:val="none" w:sz="0" w:space="0" w:color="auto"/>
                      </w:divBdr>
                    </w:div>
                  </w:divsChild>
                </w:div>
                <w:div w:id="1865555918">
                  <w:marLeft w:val="0"/>
                  <w:marRight w:val="0"/>
                  <w:marTop w:val="0"/>
                  <w:marBottom w:val="0"/>
                  <w:divBdr>
                    <w:top w:val="none" w:sz="0" w:space="0" w:color="auto"/>
                    <w:left w:val="none" w:sz="0" w:space="0" w:color="auto"/>
                    <w:bottom w:val="none" w:sz="0" w:space="0" w:color="auto"/>
                    <w:right w:val="none" w:sz="0" w:space="0" w:color="auto"/>
                  </w:divBdr>
                  <w:divsChild>
                    <w:div w:id="714309497">
                      <w:marLeft w:val="0"/>
                      <w:marRight w:val="0"/>
                      <w:marTop w:val="0"/>
                      <w:marBottom w:val="0"/>
                      <w:divBdr>
                        <w:top w:val="none" w:sz="0" w:space="0" w:color="auto"/>
                        <w:left w:val="none" w:sz="0" w:space="0" w:color="auto"/>
                        <w:bottom w:val="none" w:sz="0" w:space="0" w:color="auto"/>
                        <w:right w:val="none" w:sz="0" w:space="0" w:color="auto"/>
                      </w:divBdr>
                    </w:div>
                  </w:divsChild>
                </w:div>
                <w:div w:id="1873035137">
                  <w:marLeft w:val="0"/>
                  <w:marRight w:val="0"/>
                  <w:marTop w:val="0"/>
                  <w:marBottom w:val="0"/>
                  <w:divBdr>
                    <w:top w:val="none" w:sz="0" w:space="0" w:color="auto"/>
                    <w:left w:val="none" w:sz="0" w:space="0" w:color="auto"/>
                    <w:bottom w:val="none" w:sz="0" w:space="0" w:color="auto"/>
                    <w:right w:val="none" w:sz="0" w:space="0" w:color="auto"/>
                  </w:divBdr>
                  <w:divsChild>
                    <w:div w:id="2145851627">
                      <w:marLeft w:val="0"/>
                      <w:marRight w:val="0"/>
                      <w:marTop w:val="0"/>
                      <w:marBottom w:val="0"/>
                      <w:divBdr>
                        <w:top w:val="none" w:sz="0" w:space="0" w:color="auto"/>
                        <w:left w:val="none" w:sz="0" w:space="0" w:color="auto"/>
                        <w:bottom w:val="none" w:sz="0" w:space="0" w:color="auto"/>
                        <w:right w:val="none" w:sz="0" w:space="0" w:color="auto"/>
                      </w:divBdr>
                    </w:div>
                  </w:divsChild>
                </w:div>
                <w:div w:id="2108580035">
                  <w:marLeft w:val="0"/>
                  <w:marRight w:val="0"/>
                  <w:marTop w:val="0"/>
                  <w:marBottom w:val="0"/>
                  <w:divBdr>
                    <w:top w:val="none" w:sz="0" w:space="0" w:color="auto"/>
                    <w:left w:val="none" w:sz="0" w:space="0" w:color="auto"/>
                    <w:bottom w:val="none" w:sz="0" w:space="0" w:color="auto"/>
                    <w:right w:val="none" w:sz="0" w:space="0" w:color="auto"/>
                  </w:divBdr>
                  <w:divsChild>
                    <w:div w:id="246310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845974">
          <w:marLeft w:val="0"/>
          <w:marRight w:val="0"/>
          <w:marTop w:val="0"/>
          <w:marBottom w:val="0"/>
          <w:divBdr>
            <w:top w:val="none" w:sz="0" w:space="0" w:color="auto"/>
            <w:left w:val="none" w:sz="0" w:space="0" w:color="auto"/>
            <w:bottom w:val="none" w:sz="0" w:space="0" w:color="auto"/>
            <w:right w:val="none" w:sz="0" w:space="0" w:color="auto"/>
          </w:divBdr>
        </w:div>
        <w:div w:id="1680308915">
          <w:marLeft w:val="0"/>
          <w:marRight w:val="0"/>
          <w:marTop w:val="0"/>
          <w:marBottom w:val="0"/>
          <w:divBdr>
            <w:top w:val="none" w:sz="0" w:space="0" w:color="auto"/>
            <w:left w:val="none" w:sz="0" w:space="0" w:color="auto"/>
            <w:bottom w:val="none" w:sz="0" w:space="0" w:color="auto"/>
            <w:right w:val="none" w:sz="0" w:space="0" w:color="auto"/>
          </w:divBdr>
        </w:div>
      </w:divsChild>
    </w:div>
    <w:div w:id="514612522">
      <w:bodyDiv w:val="1"/>
      <w:marLeft w:val="0"/>
      <w:marRight w:val="0"/>
      <w:marTop w:val="0"/>
      <w:marBottom w:val="0"/>
      <w:divBdr>
        <w:top w:val="none" w:sz="0" w:space="0" w:color="auto"/>
        <w:left w:val="none" w:sz="0" w:space="0" w:color="auto"/>
        <w:bottom w:val="none" w:sz="0" w:space="0" w:color="auto"/>
        <w:right w:val="none" w:sz="0" w:space="0" w:color="auto"/>
      </w:divBdr>
      <w:divsChild>
        <w:div w:id="238053125">
          <w:marLeft w:val="0"/>
          <w:marRight w:val="0"/>
          <w:marTop w:val="0"/>
          <w:marBottom w:val="0"/>
          <w:divBdr>
            <w:top w:val="none" w:sz="0" w:space="0" w:color="auto"/>
            <w:left w:val="none" w:sz="0" w:space="0" w:color="auto"/>
            <w:bottom w:val="none" w:sz="0" w:space="0" w:color="auto"/>
            <w:right w:val="none" w:sz="0" w:space="0" w:color="auto"/>
          </w:divBdr>
        </w:div>
        <w:div w:id="503478934">
          <w:marLeft w:val="0"/>
          <w:marRight w:val="0"/>
          <w:marTop w:val="0"/>
          <w:marBottom w:val="0"/>
          <w:divBdr>
            <w:top w:val="none" w:sz="0" w:space="0" w:color="auto"/>
            <w:left w:val="none" w:sz="0" w:space="0" w:color="auto"/>
            <w:bottom w:val="none" w:sz="0" w:space="0" w:color="auto"/>
            <w:right w:val="none" w:sz="0" w:space="0" w:color="auto"/>
          </w:divBdr>
        </w:div>
        <w:div w:id="660038080">
          <w:marLeft w:val="0"/>
          <w:marRight w:val="0"/>
          <w:marTop w:val="0"/>
          <w:marBottom w:val="0"/>
          <w:divBdr>
            <w:top w:val="none" w:sz="0" w:space="0" w:color="auto"/>
            <w:left w:val="none" w:sz="0" w:space="0" w:color="auto"/>
            <w:bottom w:val="none" w:sz="0" w:space="0" w:color="auto"/>
            <w:right w:val="none" w:sz="0" w:space="0" w:color="auto"/>
          </w:divBdr>
        </w:div>
        <w:div w:id="699088277">
          <w:marLeft w:val="0"/>
          <w:marRight w:val="0"/>
          <w:marTop w:val="0"/>
          <w:marBottom w:val="0"/>
          <w:divBdr>
            <w:top w:val="none" w:sz="0" w:space="0" w:color="auto"/>
            <w:left w:val="none" w:sz="0" w:space="0" w:color="auto"/>
            <w:bottom w:val="none" w:sz="0" w:space="0" w:color="auto"/>
            <w:right w:val="none" w:sz="0" w:space="0" w:color="auto"/>
          </w:divBdr>
        </w:div>
        <w:div w:id="737635556">
          <w:marLeft w:val="0"/>
          <w:marRight w:val="0"/>
          <w:marTop w:val="0"/>
          <w:marBottom w:val="0"/>
          <w:divBdr>
            <w:top w:val="none" w:sz="0" w:space="0" w:color="auto"/>
            <w:left w:val="none" w:sz="0" w:space="0" w:color="auto"/>
            <w:bottom w:val="none" w:sz="0" w:space="0" w:color="auto"/>
            <w:right w:val="none" w:sz="0" w:space="0" w:color="auto"/>
          </w:divBdr>
        </w:div>
        <w:div w:id="808521163">
          <w:marLeft w:val="0"/>
          <w:marRight w:val="0"/>
          <w:marTop w:val="0"/>
          <w:marBottom w:val="0"/>
          <w:divBdr>
            <w:top w:val="none" w:sz="0" w:space="0" w:color="auto"/>
            <w:left w:val="none" w:sz="0" w:space="0" w:color="auto"/>
            <w:bottom w:val="none" w:sz="0" w:space="0" w:color="auto"/>
            <w:right w:val="none" w:sz="0" w:space="0" w:color="auto"/>
          </w:divBdr>
        </w:div>
        <w:div w:id="1204560686">
          <w:marLeft w:val="0"/>
          <w:marRight w:val="0"/>
          <w:marTop w:val="0"/>
          <w:marBottom w:val="0"/>
          <w:divBdr>
            <w:top w:val="none" w:sz="0" w:space="0" w:color="auto"/>
            <w:left w:val="none" w:sz="0" w:space="0" w:color="auto"/>
            <w:bottom w:val="none" w:sz="0" w:space="0" w:color="auto"/>
            <w:right w:val="none" w:sz="0" w:space="0" w:color="auto"/>
          </w:divBdr>
        </w:div>
        <w:div w:id="1560172451">
          <w:marLeft w:val="0"/>
          <w:marRight w:val="0"/>
          <w:marTop w:val="0"/>
          <w:marBottom w:val="0"/>
          <w:divBdr>
            <w:top w:val="none" w:sz="0" w:space="0" w:color="auto"/>
            <w:left w:val="none" w:sz="0" w:space="0" w:color="auto"/>
            <w:bottom w:val="none" w:sz="0" w:space="0" w:color="auto"/>
            <w:right w:val="none" w:sz="0" w:space="0" w:color="auto"/>
          </w:divBdr>
        </w:div>
        <w:div w:id="1683311298">
          <w:marLeft w:val="0"/>
          <w:marRight w:val="0"/>
          <w:marTop w:val="0"/>
          <w:marBottom w:val="0"/>
          <w:divBdr>
            <w:top w:val="none" w:sz="0" w:space="0" w:color="auto"/>
            <w:left w:val="none" w:sz="0" w:space="0" w:color="auto"/>
            <w:bottom w:val="none" w:sz="0" w:space="0" w:color="auto"/>
            <w:right w:val="none" w:sz="0" w:space="0" w:color="auto"/>
          </w:divBdr>
        </w:div>
        <w:div w:id="2077629814">
          <w:marLeft w:val="0"/>
          <w:marRight w:val="0"/>
          <w:marTop w:val="0"/>
          <w:marBottom w:val="0"/>
          <w:divBdr>
            <w:top w:val="none" w:sz="0" w:space="0" w:color="auto"/>
            <w:left w:val="none" w:sz="0" w:space="0" w:color="auto"/>
            <w:bottom w:val="none" w:sz="0" w:space="0" w:color="auto"/>
            <w:right w:val="none" w:sz="0" w:space="0" w:color="auto"/>
          </w:divBdr>
        </w:div>
        <w:div w:id="2135519935">
          <w:marLeft w:val="0"/>
          <w:marRight w:val="0"/>
          <w:marTop w:val="0"/>
          <w:marBottom w:val="0"/>
          <w:divBdr>
            <w:top w:val="none" w:sz="0" w:space="0" w:color="auto"/>
            <w:left w:val="none" w:sz="0" w:space="0" w:color="auto"/>
            <w:bottom w:val="none" w:sz="0" w:space="0" w:color="auto"/>
            <w:right w:val="none" w:sz="0" w:space="0" w:color="auto"/>
          </w:divBdr>
        </w:div>
      </w:divsChild>
    </w:div>
    <w:div w:id="540098503">
      <w:bodyDiv w:val="1"/>
      <w:marLeft w:val="0"/>
      <w:marRight w:val="0"/>
      <w:marTop w:val="0"/>
      <w:marBottom w:val="0"/>
      <w:divBdr>
        <w:top w:val="none" w:sz="0" w:space="0" w:color="auto"/>
        <w:left w:val="none" w:sz="0" w:space="0" w:color="auto"/>
        <w:bottom w:val="none" w:sz="0" w:space="0" w:color="auto"/>
        <w:right w:val="none" w:sz="0" w:space="0" w:color="auto"/>
      </w:divBdr>
    </w:div>
    <w:div w:id="636491036">
      <w:bodyDiv w:val="1"/>
      <w:marLeft w:val="0"/>
      <w:marRight w:val="0"/>
      <w:marTop w:val="0"/>
      <w:marBottom w:val="0"/>
      <w:divBdr>
        <w:top w:val="none" w:sz="0" w:space="0" w:color="auto"/>
        <w:left w:val="none" w:sz="0" w:space="0" w:color="auto"/>
        <w:bottom w:val="none" w:sz="0" w:space="0" w:color="auto"/>
        <w:right w:val="none" w:sz="0" w:space="0" w:color="auto"/>
      </w:divBdr>
    </w:div>
    <w:div w:id="928467190">
      <w:bodyDiv w:val="1"/>
      <w:marLeft w:val="0"/>
      <w:marRight w:val="0"/>
      <w:marTop w:val="0"/>
      <w:marBottom w:val="0"/>
      <w:divBdr>
        <w:top w:val="none" w:sz="0" w:space="0" w:color="auto"/>
        <w:left w:val="none" w:sz="0" w:space="0" w:color="auto"/>
        <w:bottom w:val="none" w:sz="0" w:space="0" w:color="auto"/>
        <w:right w:val="none" w:sz="0" w:space="0" w:color="auto"/>
      </w:divBdr>
      <w:divsChild>
        <w:div w:id="157817636">
          <w:marLeft w:val="0"/>
          <w:marRight w:val="0"/>
          <w:marTop w:val="0"/>
          <w:marBottom w:val="0"/>
          <w:divBdr>
            <w:top w:val="none" w:sz="0" w:space="0" w:color="auto"/>
            <w:left w:val="none" w:sz="0" w:space="0" w:color="auto"/>
            <w:bottom w:val="none" w:sz="0" w:space="0" w:color="auto"/>
            <w:right w:val="none" w:sz="0" w:space="0" w:color="auto"/>
          </w:divBdr>
          <w:divsChild>
            <w:div w:id="1255211979">
              <w:marLeft w:val="0"/>
              <w:marRight w:val="0"/>
              <w:marTop w:val="30"/>
              <w:marBottom w:val="30"/>
              <w:divBdr>
                <w:top w:val="none" w:sz="0" w:space="0" w:color="auto"/>
                <w:left w:val="none" w:sz="0" w:space="0" w:color="auto"/>
                <w:bottom w:val="none" w:sz="0" w:space="0" w:color="auto"/>
                <w:right w:val="none" w:sz="0" w:space="0" w:color="auto"/>
              </w:divBdr>
              <w:divsChild>
                <w:div w:id="54664013">
                  <w:marLeft w:val="0"/>
                  <w:marRight w:val="0"/>
                  <w:marTop w:val="0"/>
                  <w:marBottom w:val="0"/>
                  <w:divBdr>
                    <w:top w:val="none" w:sz="0" w:space="0" w:color="auto"/>
                    <w:left w:val="none" w:sz="0" w:space="0" w:color="auto"/>
                    <w:bottom w:val="none" w:sz="0" w:space="0" w:color="auto"/>
                    <w:right w:val="none" w:sz="0" w:space="0" w:color="auto"/>
                  </w:divBdr>
                  <w:divsChild>
                    <w:div w:id="1449155630">
                      <w:marLeft w:val="0"/>
                      <w:marRight w:val="0"/>
                      <w:marTop w:val="0"/>
                      <w:marBottom w:val="0"/>
                      <w:divBdr>
                        <w:top w:val="none" w:sz="0" w:space="0" w:color="auto"/>
                        <w:left w:val="none" w:sz="0" w:space="0" w:color="auto"/>
                        <w:bottom w:val="none" w:sz="0" w:space="0" w:color="auto"/>
                        <w:right w:val="none" w:sz="0" w:space="0" w:color="auto"/>
                      </w:divBdr>
                    </w:div>
                  </w:divsChild>
                </w:div>
                <w:div w:id="108859308">
                  <w:marLeft w:val="0"/>
                  <w:marRight w:val="0"/>
                  <w:marTop w:val="0"/>
                  <w:marBottom w:val="0"/>
                  <w:divBdr>
                    <w:top w:val="none" w:sz="0" w:space="0" w:color="auto"/>
                    <w:left w:val="none" w:sz="0" w:space="0" w:color="auto"/>
                    <w:bottom w:val="none" w:sz="0" w:space="0" w:color="auto"/>
                    <w:right w:val="none" w:sz="0" w:space="0" w:color="auto"/>
                  </w:divBdr>
                  <w:divsChild>
                    <w:div w:id="1794447662">
                      <w:marLeft w:val="0"/>
                      <w:marRight w:val="0"/>
                      <w:marTop w:val="0"/>
                      <w:marBottom w:val="0"/>
                      <w:divBdr>
                        <w:top w:val="none" w:sz="0" w:space="0" w:color="auto"/>
                        <w:left w:val="none" w:sz="0" w:space="0" w:color="auto"/>
                        <w:bottom w:val="none" w:sz="0" w:space="0" w:color="auto"/>
                        <w:right w:val="none" w:sz="0" w:space="0" w:color="auto"/>
                      </w:divBdr>
                    </w:div>
                  </w:divsChild>
                </w:div>
                <w:div w:id="519897440">
                  <w:marLeft w:val="0"/>
                  <w:marRight w:val="0"/>
                  <w:marTop w:val="0"/>
                  <w:marBottom w:val="0"/>
                  <w:divBdr>
                    <w:top w:val="none" w:sz="0" w:space="0" w:color="auto"/>
                    <w:left w:val="none" w:sz="0" w:space="0" w:color="auto"/>
                    <w:bottom w:val="none" w:sz="0" w:space="0" w:color="auto"/>
                    <w:right w:val="none" w:sz="0" w:space="0" w:color="auto"/>
                  </w:divBdr>
                  <w:divsChild>
                    <w:div w:id="1190025630">
                      <w:marLeft w:val="0"/>
                      <w:marRight w:val="0"/>
                      <w:marTop w:val="0"/>
                      <w:marBottom w:val="0"/>
                      <w:divBdr>
                        <w:top w:val="none" w:sz="0" w:space="0" w:color="auto"/>
                        <w:left w:val="none" w:sz="0" w:space="0" w:color="auto"/>
                        <w:bottom w:val="none" w:sz="0" w:space="0" w:color="auto"/>
                        <w:right w:val="none" w:sz="0" w:space="0" w:color="auto"/>
                      </w:divBdr>
                    </w:div>
                  </w:divsChild>
                </w:div>
                <w:div w:id="848636393">
                  <w:marLeft w:val="0"/>
                  <w:marRight w:val="0"/>
                  <w:marTop w:val="0"/>
                  <w:marBottom w:val="0"/>
                  <w:divBdr>
                    <w:top w:val="none" w:sz="0" w:space="0" w:color="auto"/>
                    <w:left w:val="none" w:sz="0" w:space="0" w:color="auto"/>
                    <w:bottom w:val="none" w:sz="0" w:space="0" w:color="auto"/>
                    <w:right w:val="none" w:sz="0" w:space="0" w:color="auto"/>
                  </w:divBdr>
                  <w:divsChild>
                    <w:div w:id="1780367042">
                      <w:marLeft w:val="0"/>
                      <w:marRight w:val="0"/>
                      <w:marTop w:val="0"/>
                      <w:marBottom w:val="0"/>
                      <w:divBdr>
                        <w:top w:val="none" w:sz="0" w:space="0" w:color="auto"/>
                        <w:left w:val="none" w:sz="0" w:space="0" w:color="auto"/>
                        <w:bottom w:val="none" w:sz="0" w:space="0" w:color="auto"/>
                        <w:right w:val="none" w:sz="0" w:space="0" w:color="auto"/>
                      </w:divBdr>
                    </w:div>
                  </w:divsChild>
                </w:div>
                <w:div w:id="1201481683">
                  <w:marLeft w:val="0"/>
                  <w:marRight w:val="0"/>
                  <w:marTop w:val="0"/>
                  <w:marBottom w:val="0"/>
                  <w:divBdr>
                    <w:top w:val="none" w:sz="0" w:space="0" w:color="auto"/>
                    <w:left w:val="none" w:sz="0" w:space="0" w:color="auto"/>
                    <w:bottom w:val="none" w:sz="0" w:space="0" w:color="auto"/>
                    <w:right w:val="none" w:sz="0" w:space="0" w:color="auto"/>
                  </w:divBdr>
                  <w:divsChild>
                    <w:div w:id="1661929204">
                      <w:marLeft w:val="0"/>
                      <w:marRight w:val="0"/>
                      <w:marTop w:val="0"/>
                      <w:marBottom w:val="0"/>
                      <w:divBdr>
                        <w:top w:val="none" w:sz="0" w:space="0" w:color="auto"/>
                        <w:left w:val="none" w:sz="0" w:space="0" w:color="auto"/>
                        <w:bottom w:val="none" w:sz="0" w:space="0" w:color="auto"/>
                        <w:right w:val="none" w:sz="0" w:space="0" w:color="auto"/>
                      </w:divBdr>
                    </w:div>
                  </w:divsChild>
                </w:div>
                <w:div w:id="2061515136">
                  <w:marLeft w:val="0"/>
                  <w:marRight w:val="0"/>
                  <w:marTop w:val="0"/>
                  <w:marBottom w:val="0"/>
                  <w:divBdr>
                    <w:top w:val="none" w:sz="0" w:space="0" w:color="auto"/>
                    <w:left w:val="none" w:sz="0" w:space="0" w:color="auto"/>
                    <w:bottom w:val="none" w:sz="0" w:space="0" w:color="auto"/>
                    <w:right w:val="none" w:sz="0" w:space="0" w:color="auto"/>
                  </w:divBdr>
                  <w:divsChild>
                    <w:div w:id="140464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970268">
          <w:marLeft w:val="0"/>
          <w:marRight w:val="0"/>
          <w:marTop w:val="0"/>
          <w:marBottom w:val="0"/>
          <w:divBdr>
            <w:top w:val="none" w:sz="0" w:space="0" w:color="auto"/>
            <w:left w:val="none" w:sz="0" w:space="0" w:color="auto"/>
            <w:bottom w:val="none" w:sz="0" w:space="0" w:color="auto"/>
            <w:right w:val="none" w:sz="0" w:space="0" w:color="auto"/>
          </w:divBdr>
        </w:div>
        <w:div w:id="1623807526">
          <w:marLeft w:val="0"/>
          <w:marRight w:val="0"/>
          <w:marTop w:val="0"/>
          <w:marBottom w:val="0"/>
          <w:divBdr>
            <w:top w:val="none" w:sz="0" w:space="0" w:color="auto"/>
            <w:left w:val="none" w:sz="0" w:space="0" w:color="auto"/>
            <w:bottom w:val="none" w:sz="0" w:space="0" w:color="auto"/>
            <w:right w:val="none" w:sz="0" w:space="0" w:color="auto"/>
          </w:divBdr>
        </w:div>
        <w:div w:id="1907253508">
          <w:marLeft w:val="0"/>
          <w:marRight w:val="0"/>
          <w:marTop w:val="0"/>
          <w:marBottom w:val="0"/>
          <w:divBdr>
            <w:top w:val="none" w:sz="0" w:space="0" w:color="auto"/>
            <w:left w:val="none" w:sz="0" w:space="0" w:color="auto"/>
            <w:bottom w:val="none" w:sz="0" w:space="0" w:color="auto"/>
            <w:right w:val="none" w:sz="0" w:space="0" w:color="auto"/>
          </w:divBdr>
        </w:div>
        <w:div w:id="2003317479">
          <w:marLeft w:val="0"/>
          <w:marRight w:val="0"/>
          <w:marTop w:val="0"/>
          <w:marBottom w:val="0"/>
          <w:divBdr>
            <w:top w:val="none" w:sz="0" w:space="0" w:color="auto"/>
            <w:left w:val="none" w:sz="0" w:space="0" w:color="auto"/>
            <w:bottom w:val="none" w:sz="0" w:space="0" w:color="auto"/>
            <w:right w:val="none" w:sz="0" w:space="0" w:color="auto"/>
          </w:divBdr>
        </w:div>
      </w:divsChild>
    </w:div>
    <w:div w:id="1060904447">
      <w:bodyDiv w:val="1"/>
      <w:marLeft w:val="0"/>
      <w:marRight w:val="0"/>
      <w:marTop w:val="0"/>
      <w:marBottom w:val="0"/>
      <w:divBdr>
        <w:top w:val="none" w:sz="0" w:space="0" w:color="auto"/>
        <w:left w:val="none" w:sz="0" w:space="0" w:color="auto"/>
        <w:bottom w:val="none" w:sz="0" w:space="0" w:color="auto"/>
        <w:right w:val="none" w:sz="0" w:space="0" w:color="auto"/>
      </w:divBdr>
    </w:div>
    <w:div w:id="1082995220">
      <w:bodyDiv w:val="1"/>
      <w:marLeft w:val="0"/>
      <w:marRight w:val="0"/>
      <w:marTop w:val="0"/>
      <w:marBottom w:val="0"/>
      <w:divBdr>
        <w:top w:val="none" w:sz="0" w:space="0" w:color="auto"/>
        <w:left w:val="none" w:sz="0" w:space="0" w:color="auto"/>
        <w:bottom w:val="none" w:sz="0" w:space="0" w:color="auto"/>
        <w:right w:val="none" w:sz="0" w:space="0" w:color="auto"/>
      </w:divBdr>
      <w:divsChild>
        <w:div w:id="493958631">
          <w:marLeft w:val="0"/>
          <w:marRight w:val="0"/>
          <w:marTop w:val="0"/>
          <w:marBottom w:val="0"/>
          <w:divBdr>
            <w:top w:val="none" w:sz="0" w:space="0" w:color="auto"/>
            <w:left w:val="none" w:sz="0" w:space="0" w:color="auto"/>
            <w:bottom w:val="none" w:sz="0" w:space="0" w:color="auto"/>
            <w:right w:val="none" w:sz="0" w:space="0" w:color="auto"/>
          </w:divBdr>
        </w:div>
        <w:div w:id="1907573186">
          <w:marLeft w:val="0"/>
          <w:marRight w:val="0"/>
          <w:marTop w:val="0"/>
          <w:marBottom w:val="0"/>
          <w:divBdr>
            <w:top w:val="none" w:sz="0" w:space="0" w:color="auto"/>
            <w:left w:val="none" w:sz="0" w:space="0" w:color="auto"/>
            <w:bottom w:val="none" w:sz="0" w:space="0" w:color="auto"/>
            <w:right w:val="none" w:sz="0" w:space="0" w:color="auto"/>
          </w:divBdr>
        </w:div>
      </w:divsChild>
    </w:div>
    <w:div w:id="1130053967">
      <w:bodyDiv w:val="1"/>
      <w:marLeft w:val="0"/>
      <w:marRight w:val="0"/>
      <w:marTop w:val="0"/>
      <w:marBottom w:val="0"/>
      <w:divBdr>
        <w:top w:val="none" w:sz="0" w:space="0" w:color="auto"/>
        <w:left w:val="none" w:sz="0" w:space="0" w:color="auto"/>
        <w:bottom w:val="none" w:sz="0" w:space="0" w:color="auto"/>
        <w:right w:val="none" w:sz="0" w:space="0" w:color="auto"/>
      </w:divBdr>
      <w:divsChild>
        <w:div w:id="640574866">
          <w:marLeft w:val="0"/>
          <w:marRight w:val="0"/>
          <w:marTop w:val="0"/>
          <w:marBottom w:val="0"/>
          <w:divBdr>
            <w:top w:val="none" w:sz="0" w:space="0" w:color="auto"/>
            <w:left w:val="none" w:sz="0" w:space="0" w:color="auto"/>
            <w:bottom w:val="none" w:sz="0" w:space="0" w:color="auto"/>
            <w:right w:val="none" w:sz="0" w:space="0" w:color="auto"/>
          </w:divBdr>
        </w:div>
        <w:div w:id="725958469">
          <w:marLeft w:val="0"/>
          <w:marRight w:val="0"/>
          <w:marTop w:val="0"/>
          <w:marBottom w:val="0"/>
          <w:divBdr>
            <w:top w:val="none" w:sz="0" w:space="0" w:color="auto"/>
            <w:left w:val="none" w:sz="0" w:space="0" w:color="auto"/>
            <w:bottom w:val="none" w:sz="0" w:space="0" w:color="auto"/>
            <w:right w:val="none" w:sz="0" w:space="0" w:color="auto"/>
          </w:divBdr>
        </w:div>
        <w:div w:id="1041518705">
          <w:marLeft w:val="0"/>
          <w:marRight w:val="0"/>
          <w:marTop w:val="0"/>
          <w:marBottom w:val="0"/>
          <w:divBdr>
            <w:top w:val="none" w:sz="0" w:space="0" w:color="auto"/>
            <w:left w:val="none" w:sz="0" w:space="0" w:color="auto"/>
            <w:bottom w:val="none" w:sz="0" w:space="0" w:color="auto"/>
            <w:right w:val="none" w:sz="0" w:space="0" w:color="auto"/>
          </w:divBdr>
        </w:div>
        <w:div w:id="1080176196">
          <w:marLeft w:val="0"/>
          <w:marRight w:val="0"/>
          <w:marTop w:val="0"/>
          <w:marBottom w:val="0"/>
          <w:divBdr>
            <w:top w:val="none" w:sz="0" w:space="0" w:color="auto"/>
            <w:left w:val="none" w:sz="0" w:space="0" w:color="auto"/>
            <w:bottom w:val="none" w:sz="0" w:space="0" w:color="auto"/>
            <w:right w:val="none" w:sz="0" w:space="0" w:color="auto"/>
          </w:divBdr>
        </w:div>
        <w:div w:id="1162744209">
          <w:marLeft w:val="0"/>
          <w:marRight w:val="0"/>
          <w:marTop w:val="0"/>
          <w:marBottom w:val="0"/>
          <w:divBdr>
            <w:top w:val="none" w:sz="0" w:space="0" w:color="auto"/>
            <w:left w:val="none" w:sz="0" w:space="0" w:color="auto"/>
            <w:bottom w:val="none" w:sz="0" w:space="0" w:color="auto"/>
            <w:right w:val="none" w:sz="0" w:space="0" w:color="auto"/>
          </w:divBdr>
        </w:div>
        <w:div w:id="1899973632">
          <w:marLeft w:val="0"/>
          <w:marRight w:val="0"/>
          <w:marTop w:val="0"/>
          <w:marBottom w:val="0"/>
          <w:divBdr>
            <w:top w:val="none" w:sz="0" w:space="0" w:color="auto"/>
            <w:left w:val="none" w:sz="0" w:space="0" w:color="auto"/>
            <w:bottom w:val="none" w:sz="0" w:space="0" w:color="auto"/>
            <w:right w:val="none" w:sz="0" w:space="0" w:color="auto"/>
          </w:divBdr>
        </w:div>
        <w:div w:id="1912159545">
          <w:marLeft w:val="0"/>
          <w:marRight w:val="0"/>
          <w:marTop w:val="0"/>
          <w:marBottom w:val="0"/>
          <w:divBdr>
            <w:top w:val="none" w:sz="0" w:space="0" w:color="auto"/>
            <w:left w:val="none" w:sz="0" w:space="0" w:color="auto"/>
            <w:bottom w:val="none" w:sz="0" w:space="0" w:color="auto"/>
            <w:right w:val="none" w:sz="0" w:space="0" w:color="auto"/>
          </w:divBdr>
        </w:div>
      </w:divsChild>
    </w:div>
    <w:div w:id="1421685040">
      <w:bodyDiv w:val="1"/>
      <w:marLeft w:val="0"/>
      <w:marRight w:val="0"/>
      <w:marTop w:val="0"/>
      <w:marBottom w:val="0"/>
      <w:divBdr>
        <w:top w:val="none" w:sz="0" w:space="0" w:color="auto"/>
        <w:left w:val="none" w:sz="0" w:space="0" w:color="auto"/>
        <w:bottom w:val="none" w:sz="0" w:space="0" w:color="auto"/>
        <w:right w:val="none" w:sz="0" w:space="0" w:color="auto"/>
      </w:divBdr>
    </w:div>
    <w:div w:id="1488936634">
      <w:bodyDiv w:val="1"/>
      <w:marLeft w:val="0"/>
      <w:marRight w:val="0"/>
      <w:marTop w:val="0"/>
      <w:marBottom w:val="0"/>
      <w:divBdr>
        <w:top w:val="none" w:sz="0" w:space="0" w:color="auto"/>
        <w:left w:val="none" w:sz="0" w:space="0" w:color="auto"/>
        <w:bottom w:val="none" w:sz="0" w:space="0" w:color="auto"/>
        <w:right w:val="none" w:sz="0" w:space="0" w:color="auto"/>
      </w:divBdr>
      <w:divsChild>
        <w:div w:id="642268890">
          <w:marLeft w:val="0"/>
          <w:marRight w:val="0"/>
          <w:marTop w:val="0"/>
          <w:marBottom w:val="0"/>
          <w:divBdr>
            <w:top w:val="none" w:sz="0" w:space="0" w:color="auto"/>
            <w:left w:val="none" w:sz="0" w:space="0" w:color="auto"/>
            <w:bottom w:val="none" w:sz="0" w:space="0" w:color="auto"/>
            <w:right w:val="none" w:sz="0" w:space="0" w:color="auto"/>
          </w:divBdr>
        </w:div>
        <w:div w:id="1244489494">
          <w:marLeft w:val="0"/>
          <w:marRight w:val="0"/>
          <w:marTop w:val="0"/>
          <w:marBottom w:val="0"/>
          <w:divBdr>
            <w:top w:val="none" w:sz="0" w:space="0" w:color="auto"/>
            <w:left w:val="none" w:sz="0" w:space="0" w:color="auto"/>
            <w:bottom w:val="none" w:sz="0" w:space="0" w:color="auto"/>
            <w:right w:val="none" w:sz="0" w:space="0" w:color="auto"/>
          </w:divBdr>
        </w:div>
      </w:divsChild>
    </w:div>
    <w:div w:id="1513031355">
      <w:bodyDiv w:val="1"/>
      <w:marLeft w:val="0"/>
      <w:marRight w:val="0"/>
      <w:marTop w:val="0"/>
      <w:marBottom w:val="0"/>
      <w:divBdr>
        <w:top w:val="none" w:sz="0" w:space="0" w:color="auto"/>
        <w:left w:val="none" w:sz="0" w:space="0" w:color="auto"/>
        <w:bottom w:val="none" w:sz="0" w:space="0" w:color="auto"/>
        <w:right w:val="none" w:sz="0" w:space="0" w:color="auto"/>
      </w:divBdr>
      <w:divsChild>
        <w:div w:id="934242334">
          <w:marLeft w:val="0"/>
          <w:marRight w:val="0"/>
          <w:marTop w:val="0"/>
          <w:marBottom w:val="0"/>
          <w:divBdr>
            <w:top w:val="none" w:sz="0" w:space="0" w:color="auto"/>
            <w:left w:val="none" w:sz="0" w:space="0" w:color="auto"/>
            <w:bottom w:val="none" w:sz="0" w:space="0" w:color="auto"/>
            <w:right w:val="none" w:sz="0" w:space="0" w:color="auto"/>
          </w:divBdr>
        </w:div>
        <w:div w:id="1832256728">
          <w:marLeft w:val="0"/>
          <w:marRight w:val="0"/>
          <w:marTop w:val="0"/>
          <w:marBottom w:val="0"/>
          <w:divBdr>
            <w:top w:val="none" w:sz="0" w:space="0" w:color="auto"/>
            <w:left w:val="none" w:sz="0" w:space="0" w:color="auto"/>
            <w:bottom w:val="none" w:sz="0" w:space="0" w:color="auto"/>
            <w:right w:val="none" w:sz="0" w:space="0" w:color="auto"/>
          </w:divBdr>
        </w:div>
      </w:divsChild>
    </w:div>
    <w:div w:id="1540313360">
      <w:bodyDiv w:val="1"/>
      <w:marLeft w:val="0"/>
      <w:marRight w:val="0"/>
      <w:marTop w:val="0"/>
      <w:marBottom w:val="0"/>
      <w:divBdr>
        <w:top w:val="none" w:sz="0" w:space="0" w:color="auto"/>
        <w:left w:val="none" w:sz="0" w:space="0" w:color="auto"/>
        <w:bottom w:val="none" w:sz="0" w:space="0" w:color="auto"/>
        <w:right w:val="none" w:sz="0" w:space="0" w:color="auto"/>
      </w:divBdr>
      <w:divsChild>
        <w:div w:id="1222450561">
          <w:marLeft w:val="0"/>
          <w:marRight w:val="0"/>
          <w:marTop w:val="0"/>
          <w:marBottom w:val="0"/>
          <w:divBdr>
            <w:top w:val="none" w:sz="0" w:space="0" w:color="auto"/>
            <w:left w:val="none" w:sz="0" w:space="0" w:color="auto"/>
            <w:bottom w:val="none" w:sz="0" w:space="0" w:color="auto"/>
            <w:right w:val="none" w:sz="0" w:space="0" w:color="auto"/>
          </w:divBdr>
        </w:div>
        <w:div w:id="1899784288">
          <w:marLeft w:val="0"/>
          <w:marRight w:val="0"/>
          <w:marTop w:val="0"/>
          <w:marBottom w:val="0"/>
          <w:divBdr>
            <w:top w:val="none" w:sz="0" w:space="0" w:color="auto"/>
            <w:left w:val="none" w:sz="0" w:space="0" w:color="auto"/>
            <w:bottom w:val="none" w:sz="0" w:space="0" w:color="auto"/>
            <w:right w:val="none" w:sz="0" w:space="0" w:color="auto"/>
          </w:divBdr>
        </w:div>
        <w:div w:id="1912930310">
          <w:marLeft w:val="0"/>
          <w:marRight w:val="0"/>
          <w:marTop w:val="0"/>
          <w:marBottom w:val="0"/>
          <w:divBdr>
            <w:top w:val="none" w:sz="0" w:space="0" w:color="auto"/>
            <w:left w:val="none" w:sz="0" w:space="0" w:color="auto"/>
            <w:bottom w:val="none" w:sz="0" w:space="0" w:color="auto"/>
            <w:right w:val="none" w:sz="0" w:space="0" w:color="auto"/>
          </w:divBdr>
        </w:div>
      </w:divsChild>
    </w:div>
    <w:div w:id="1542130889">
      <w:bodyDiv w:val="1"/>
      <w:marLeft w:val="0"/>
      <w:marRight w:val="0"/>
      <w:marTop w:val="0"/>
      <w:marBottom w:val="0"/>
      <w:divBdr>
        <w:top w:val="none" w:sz="0" w:space="0" w:color="auto"/>
        <w:left w:val="none" w:sz="0" w:space="0" w:color="auto"/>
        <w:bottom w:val="none" w:sz="0" w:space="0" w:color="auto"/>
        <w:right w:val="none" w:sz="0" w:space="0" w:color="auto"/>
      </w:divBdr>
      <w:divsChild>
        <w:div w:id="291518459">
          <w:marLeft w:val="0"/>
          <w:marRight w:val="0"/>
          <w:marTop w:val="0"/>
          <w:marBottom w:val="0"/>
          <w:divBdr>
            <w:top w:val="none" w:sz="0" w:space="0" w:color="auto"/>
            <w:left w:val="none" w:sz="0" w:space="0" w:color="auto"/>
            <w:bottom w:val="none" w:sz="0" w:space="0" w:color="auto"/>
            <w:right w:val="none" w:sz="0" w:space="0" w:color="auto"/>
          </w:divBdr>
        </w:div>
        <w:div w:id="764618063">
          <w:marLeft w:val="0"/>
          <w:marRight w:val="0"/>
          <w:marTop w:val="0"/>
          <w:marBottom w:val="0"/>
          <w:divBdr>
            <w:top w:val="none" w:sz="0" w:space="0" w:color="auto"/>
            <w:left w:val="none" w:sz="0" w:space="0" w:color="auto"/>
            <w:bottom w:val="none" w:sz="0" w:space="0" w:color="auto"/>
            <w:right w:val="none" w:sz="0" w:space="0" w:color="auto"/>
          </w:divBdr>
        </w:div>
      </w:divsChild>
    </w:div>
    <w:div w:id="1628271962">
      <w:bodyDiv w:val="1"/>
      <w:marLeft w:val="0"/>
      <w:marRight w:val="0"/>
      <w:marTop w:val="0"/>
      <w:marBottom w:val="0"/>
      <w:divBdr>
        <w:top w:val="none" w:sz="0" w:space="0" w:color="auto"/>
        <w:left w:val="none" w:sz="0" w:space="0" w:color="auto"/>
        <w:bottom w:val="none" w:sz="0" w:space="0" w:color="auto"/>
        <w:right w:val="none" w:sz="0" w:space="0" w:color="auto"/>
      </w:divBdr>
      <w:divsChild>
        <w:div w:id="76482744">
          <w:marLeft w:val="0"/>
          <w:marRight w:val="0"/>
          <w:marTop w:val="0"/>
          <w:marBottom w:val="0"/>
          <w:divBdr>
            <w:top w:val="none" w:sz="0" w:space="0" w:color="auto"/>
            <w:left w:val="none" w:sz="0" w:space="0" w:color="auto"/>
            <w:bottom w:val="none" w:sz="0" w:space="0" w:color="auto"/>
            <w:right w:val="none" w:sz="0" w:space="0" w:color="auto"/>
          </w:divBdr>
        </w:div>
        <w:div w:id="386421304">
          <w:marLeft w:val="0"/>
          <w:marRight w:val="0"/>
          <w:marTop w:val="0"/>
          <w:marBottom w:val="0"/>
          <w:divBdr>
            <w:top w:val="none" w:sz="0" w:space="0" w:color="auto"/>
            <w:left w:val="none" w:sz="0" w:space="0" w:color="auto"/>
            <w:bottom w:val="none" w:sz="0" w:space="0" w:color="auto"/>
            <w:right w:val="none" w:sz="0" w:space="0" w:color="auto"/>
          </w:divBdr>
        </w:div>
        <w:div w:id="2004384490">
          <w:marLeft w:val="0"/>
          <w:marRight w:val="0"/>
          <w:marTop w:val="0"/>
          <w:marBottom w:val="0"/>
          <w:divBdr>
            <w:top w:val="none" w:sz="0" w:space="0" w:color="auto"/>
            <w:left w:val="none" w:sz="0" w:space="0" w:color="auto"/>
            <w:bottom w:val="none" w:sz="0" w:space="0" w:color="auto"/>
            <w:right w:val="none" w:sz="0" w:space="0" w:color="auto"/>
          </w:divBdr>
        </w:div>
      </w:divsChild>
    </w:div>
    <w:div w:id="1779526288">
      <w:bodyDiv w:val="1"/>
      <w:marLeft w:val="0"/>
      <w:marRight w:val="0"/>
      <w:marTop w:val="0"/>
      <w:marBottom w:val="0"/>
      <w:divBdr>
        <w:top w:val="none" w:sz="0" w:space="0" w:color="auto"/>
        <w:left w:val="none" w:sz="0" w:space="0" w:color="auto"/>
        <w:bottom w:val="none" w:sz="0" w:space="0" w:color="auto"/>
        <w:right w:val="none" w:sz="0" w:space="0" w:color="auto"/>
      </w:divBdr>
      <w:divsChild>
        <w:div w:id="169684457">
          <w:marLeft w:val="0"/>
          <w:marRight w:val="0"/>
          <w:marTop w:val="0"/>
          <w:marBottom w:val="0"/>
          <w:divBdr>
            <w:top w:val="none" w:sz="0" w:space="0" w:color="auto"/>
            <w:left w:val="none" w:sz="0" w:space="0" w:color="auto"/>
            <w:bottom w:val="none" w:sz="0" w:space="0" w:color="auto"/>
            <w:right w:val="none" w:sz="0" w:space="0" w:color="auto"/>
          </w:divBdr>
        </w:div>
        <w:div w:id="881483853">
          <w:marLeft w:val="0"/>
          <w:marRight w:val="0"/>
          <w:marTop w:val="0"/>
          <w:marBottom w:val="0"/>
          <w:divBdr>
            <w:top w:val="none" w:sz="0" w:space="0" w:color="auto"/>
            <w:left w:val="none" w:sz="0" w:space="0" w:color="auto"/>
            <w:bottom w:val="none" w:sz="0" w:space="0" w:color="auto"/>
            <w:right w:val="none" w:sz="0" w:space="0" w:color="auto"/>
          </w:divBdr>
        </w:div>
      </w:divsChild>
    </w:div>
    <w:div w:id="1856529794">
      <w:bodyDiv w:val="1"/>
      <w:marLeft w:val="0"/>
      <w:marRight w:val="0"/>
      <w:marTop w:val="0"/>
      <w:marBottom w:val="0"/>
      <w:divBdr>
        <w:top w:val="none" w:sz="0" w:space="0" w:color="auto"/>
        <w:left w:val="none" w:sz="0" w:space="0" w:color="auto"/>
        <w:bottom w:val="none" w:sz="0" w:space="0" w:color="auto"/>
        <w:right w:val="none" w:sz="0" w:space="0" w:color="auto"/>
      </w:divBdr>
      <w:divsChild>
        <w:div w:id="18357379">
          <w:marLeft w:val="0"/>
          <w:marRight w:val="0"/>
          <w:marTop w:val="0"/>
          <w:marBottom w:val="0"/>
          <w:divBdr>
            <w:top w:val="none" w:sz="0" w:space="0" w:color="auto"/>
            <w:left w:val="none" w:sz="0" w:space="0" w:color="auto"/>
            <w:bottom w:val="none" w:sz="0" w:space="0" w:color="auto"/>
            <w:right w:val="none" w:sz="0" w:space="0" w:color="auto"/>
          </w:divBdr>
        </w:div>
        <w:div w:id="86315371">
          <w:marLeft w:val="0"/>
          <w:marRight w:val="0"/>
          <w:marTop w:val="0"/>
          <w:marBottom w:val="0"/>
          <w:divBdr>
            <w:top w:val="none" w:sz="0" w:space="0" w:color="auto"/>
            <w:left w:val="none" w:sz="0" w:space="0" w:color="auto"/>
            <w:bottom w:val="none" w:sz="0" w:space="0" w:color="auto"/>
            <w:right w:val="none" w:sz="0" w:space="0" w:color="auto"/>
          </w:divBdr>
        </w:div>
        <w:div w:id="229118785">
          <w:marLeft w:val="0"/>
          <w:marRight w:val="0"/>
          <w:marTop w:val="0"/>
          <w:marBottom w:val="0"/>
          <w:divBdr>
            <w:top w:val="none" w:sz="0" w:space="0" w:color="auto"/>
            <w:left w:val="none" w:sz="0" w:space="0" w:color="auto"/>
            <w:bottom w:val="none" w:sz="0" w:space="0" w:color="auto"/>
            <w:right w:val="none" w:sz="0" w:space="0" w:color="auto"/>
          </w:divBdr>
        </w:div>
        <w:div w:id="409231793">
          <w:marLeft w:val="0"/>
          <w:marRight w:val="0"/>
          <w:marTop w:val="0"/>
          <w:marBottom w:val="0"/>
          <w:divBdr>
            <w:top w:val="none" w:sz="0" w:space="0" w:color="auto"/>
            <w:left w:val="none" w:sz="0" w:space="0" w:color="auto"/>
            <w:bottom w:val="none" w:sz="0" w:space="0" w:color="auto"/>
            <w:right w:val="none" w:sz="0" w:space="0" w:color="auto"/>
          </w:divBdr>
        </w:div>
        <w:div w:id="417288901">
          <w:marLeft w:val="0"/>
          <w:marRight w:val="0"/>
          <w:marTop w:val="0"/>
          <w:marBottom w:val="0"/>
          <w:divBdr>
            <w:top w:val="none" w:sz="0" w:space="0" w:color="auto"/>
            <w:left w:val="none" w:sz="0" w:space="0" w:color="auto"/>
            <w:bottom w:val="none" w:sz="0" w:space="0" w:color="auto"/>
            <w:right w:val="none" w:sz="0" w:space="0" w:color="auto"/>
          </w:divBdr>
        </w:div>
        <w:div w:id="540047592">
          <w:marLeft w:val="0"/>
          <w:marRight w:val="0"/>
          <w:marTop w:val="0"/>
          <w:marBottom w:val="0"/>
          <w:divBdr>
            <w:top w:val="none" w:sz="0" w:space="0" w:color="auto"/>
            <w:left w:val="none" w:sz="0" w:space="0" w:color="auto"/>
            <w:bottom w:val="none" w:sz="0" w:space="0" w:color="auto"/>
            <w:right w:val="none" w:sz="0" w:space="0" w:color="auto"/>
          </w:divBdr>
        </w:div>
        <w:div w:id="1272202492">
          <w:marLeft w:val="0"/>
          <w:marRight w:val="0"/>
          <w:marTop w:val="0"/>
          <w:marBottom w:val="0"/>
          <w:divBdr>
            <w:top w:val="none" w:sz="0" w:space="0" w:color="auto"/>
            <w:left w:val="none" w:sz="0" w:space="0" w:color="auto"/>
            <w:bottom w:val="none" w:sz="0" w:space="0" w:color="auto"/>
            <w:right w:val="none" w:sz="0" w:space="0" w:color="auto"/>
          </w:divBdr>
        </w:div>
        <w:div w:id="1578053229">
          <w:marLeft w:val="0"/>
          <w:marRight w:val="0"/>
          <w:marTop w:val="0"/>
          <w:marBottom w:val="0"/>
          <w:divBdr>
            <w:top w:val="none" w:sz="0" w:space="0" w:color="auto"/>
            <w:left w:val="none" w:sz="0" w:space="0" w:color="auto"/>
            <w:bottom w:val="none" w:sz="0" w:space="0" w:color="auto"/>
            <w:right w:val="none" w:sz="0" w:space="0" w:color="auto"/>
          </w:divBdr>
        </w:div>
        <w:div w:id="1613054609">
          <w:marLeft w:val="0"/>
          <w:marRight w:val="0"/>
          <w:marTop w:val="0"/>
          <w:marBottom w:val="0"/>
          <w:divBdr>
            <w:top w:val="none" w:sz="0" w:space="0" w:color="auto"/>
            <w:left w:val="none" w:sz="0" w:space="0" w:color="auto"/>
            <w:bottom w:val="none" w:sz="0" w:space="0" w:color="auto"/>
            <w:right w:val="none" w:sz="0" w:space="0" w:color="auto"/>
          </w:divBdr>
        </w:div>
        <w:div w:id="1650790547">
          <w:marLeft w:val="0"/>
          <w:marRight w:val="0"/>
          <w:marTop w:val="0"/>
          <w:marBottom w:val="0"/>
          <w:divBdr>
            <w:top w:val="none" w:sz="0" w:space="0" w:color="auto"/>
            <w:left w:val="none" w:sz="0" w:space="0" w:color="auto"/>
            <w:bottom w:val="none" w:sz="0" w:space="0" w:color="auto"/>
            <w:right w:val="none" w:sz="0" w:space="0" w:color="auto"/>
          </w:divBdr>
        </w:div>
        <w:div w:id="1827742004">
          <w:marLeft w:val="0"/>
          <w:marRight w:val="0"/>
          <w:marTop w:val="0"/>
          <w:marBottom w:val="0"/>
          <w:divBdr>
            <w:top w:val="none" w:sz="0" w:space="0" w:color="auto"/>
            <w:left w:val="none" w:sz="0" w:space="0" w:color="auto"/>
            <w:bottom w:val="none" w:sz="0" w:space="0" w:color="auto"/>
            <w:right w:val="none" w:sz="0" w:space="0" w:color="auto"/>
          </w:divBdr>
        </w:div>
      </w:divsChild>
    </w:div>
    <w:div w:id="2045519389">
      <w:bodyDiv w:val="1"/>
      <w:marLeft w:val="0"/>
      <w:marRight w:val="0"/>
      <w:marTop w:val="0"/>
      <w:marBottom w:val="0"/>
      <w:divBdr>
        <w:top w:val="none" w:sz="0" w:space="0" w:color="auto"/>
        <w:left w:val="none" w:sz="0" w:space="0" w:color="auto"/>
        <w:bottom w:val="none" w:sz="0" w:space="0" w:color="auto"/>
        <w:right w:val="none" w:sz="0" w:space="0" w:color="auto"/>
      </w:divBdr>
    </w:div>
    <w:div w:id="20696473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ffectivehealthcare.ahrq.gov/about/ep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edbenchmarking.co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cid:image003.png@01D65AF1.FCCE3940" TargetMode="External"/></Relationships>
</file>

<file path=word/_rels/endnotes.xml.rels><?xml version="1.0" encoding="UTF-8" standalone="yes"?>
<Relationships xmlns="http://schemas.openxmlformats.org/package/2006/relationships"><Relationship Id="rId2" Type="http://schemas.openxmlformats.org/officeDocument/2006/relationships/hyperlink" Target="https://doi.org/10.1111/jgs.17740" TargetMode="External"/><Relationship Id="rId1" Type="http://schemas.openxmlformats.org/officeDocument/2006/relationships/hyperlink" Target="https://doi.org/10.1016/j.auec.2019.01.001"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5888A68E18248ADA2115A91DFE0CB68"/>
        <w:category>
          <w:name w:val="General"/>
          <w:gallery w:val="placeholder"/>
        </w:category>
        <w:types>
          <w:type w:val="bbPlcHdr"/>
        </w:types>
        <w:behaviors>
          <w:behavior w:val="content"/>
        </w:behaviors>
        <w:guid w:val="{7BED7DA0-4725-44B0-90ED-A33C5EFD9B2A}"/>
      </w:docPartPr>
      <w:docPartBody>
        <w:p w:rsidR="00B84A8A" w:rsidRDefault="00B56828" w:rsidP="00B56828">
          <w:pPr>
            <w:pStyle w:val="65888A68E18248ADA2115A91DFE0CB68"/>
          </w:pPr>
          <w:r w:rsidRPr="00C003DC">
            <w:rPr>
              <w:rStyle w:val="PlaceholderText"/>
              <w:u w:val="single"/>
            </w:rPr>
            <w:t>Click or tap here to enter text.</w:t>
          </w:r>
        </w:p>
      </w:docPartBody>
    </w:docPart>
    <w:docPart>
      <w:docPartPr>
        <w:name w:val="C769F1D9111C47A19F2A3D6BC7A1AEB7"/>
        <w:category>
          <w:name w:val="General"/>
          <w:gallery w:val="placeholder"/>
        </w:category>
        <w:types>
          <w:type w:val="bbPlcHdr"/>
        </w:types>
        <w:behaviors>
          <w:behavior w:val="content"/>
        </w:behaviors>
        <w:guid w:val="{9EDFE71D-B520-41A3-BB26-B848C21B26CF}"/>
      </w:docPartPr>
      <w:docPartBody>
        <w:p w:rsidR="00B84A8A" w:rsidRDefault="00B56828" w:rsidP="00B56828">
          <w:pPr>
            <w:pStyle w:val="C769F1D9111C47A19F2A3D6BC7A1AEB7"/>
          </w:pPr>
          <w:r w:rsidRPr="00C003DC">
            <w:rPr>
              <w:rStyle w:val="PlaceholderText"/>
              <w:u w:val="single"/>
            </w:rPr>
            <w:t>Click or tap here to enter text.</w:t>
          </w:r>
        </w:p>
      </w:docPartBody>
    </w:docPart>
    <w:docPart>
      <w:docPartPr>
        <w:name w:val="4B5B5836B9EE415F969482693A0011F8"/>
        <w:category>
          <w:name w:val="General"/>
          <w:gallery w:val="placeholder"/>
        </w:category>
        <w:types>
          <w:type w:val="bbPlcHdr"/>
        </w:types>
        <w:behaviors>
          <w:behavior w:val="content"/>
        </w:behaviors>
        <w:guid w:val="{315912D9-CBE7-4236-BBC5-DB6F0B9B9F33}"/>
      </w:docPartPr>
      <w:docPartBody>
        <w:p w:rsidR="00B84A8A" w:rsidRDefault="00B56828" w:rsidP="00B56828">
          <w:pPr>
            <w:pStyle w:val="4B5B5836B9EE415F969482693A0011F8"/>
          </w:pPr>
          <w:r w:rsidRPr="00C003DC">
            <w:rPr>
              <w:rStyle w:val="PlaceholderText"/>
              <w:u w:val="single"/>
            </w:rPr>
            <w:t>Click or tap here to enter text.</w:t>
          </w:r>
        </w:p>
      </w:docPartBody>
    </w:docPart>
    <w:docPart>
      <w:docPartPr>
        <w:name w:val="401EB81479A942C1BC052FF8109855BC"/>
        <w:category>
          <w:name w:val="General"/>
          <w:gallery w:val="placeholder"/>
        </w:category>
        <w:types>
          <w:type w:val="bbPlcHdr"/>
        </w:types>
        <w:behaviors>
          <w:behavior w:val="content"/>
        </w:behaviors>
        <w:guid w:val="{B4D9FE40-89C3-497A-A42C-9251F0DC0D86}"/>
      </w:docPartPr>
      <w:docPartBody>
        <w:p w:rsidR="005773E4" w:rsidRDefault="005773E4" w:rsidP="005773E4">
          <w:pPr>
            <w:pStyle w:val="401EB81479A942C1BC052FF8109855BC"/>
          </w:pPr>
          <w:r w:rsidRPr="00C003DC">
            <w:rPr>
              <w:rStyle w:val="PlaceholderText"/>
              <w:u w:val="single"/>
            </w:rPr>
            <w:t>Click or tap here to enter text.</w:t>
          </w:r>
        </w:p>
      </w:docPartBody>
    </w:docPart>
    <w:docPart>
      <w:docPartPr>
        <w:name w:val="2D50045DD50D4C4380E7D8496F333D1A"/>
        <w:category>
          <w:name w:val="General"/>
          <w:gallery w:val="placeholder"/>
        </w:category>
        <w:types>
          <w:type w:val="bbPlcHdr"/>
        </w:types>
        <w:behaviors>
          <w:behavior w:val="content"/>
        </w:behaviors>
        <w:guid w:val="{0D4BFE66-F1C8-4AD6-99A2-93122FA94B8E}"/>
      </w:docPartPr>
      <w:docPartBody>
        <w:p w:rsidR="005773E4" w:rsidRDefault="005773E4" w:rsidP="005773E4">
          <w:pPr>
            <w:pStyle w:val="2D50045DD50D4C4380E7D8496F333D1A"/>
          </w:pPr>
          <w:r w:rsidRPr="00C003DC">
            <w:rPr>
              <w:rStyle w:val="PlaceholderText"/>
              <w:u w:val="single"/>
            </w:rPr>
            <w:t>Click or tap here to enter text.</w:t>
          </w:r>
        </w:p>
      </w:docPartBody>
    </w:docPart>
    <w:docPart>
      <w:docPartPr>
        <w:name w:val="C33B492E53C04BA081473A274E1D5246"/>
        <w:category>
          <w:name w:val="General"/>
          <w:gallery w:val="placeholder"/>
        </w:category>
        <w:types>
          <w:type w:val="bbPlcHdr"/>
        </w:types>
        <w:behaviors>
          <w:behavior w:val="content"/>
        </w:behaviors>
        <w:guid w:val="{1761C9D9-F5D2-4A4A-A537-2CEB324AF4E2}"/>
      </w:docPartPr>
      <w:docPartBody>
        <w:p w:rsidR="00D537C4" w:rsidRDefault="00A400E3" w:rsidP="00A400E3">
          <w:pPr>
            <w:pStyle w:val="C33B492E53C04BA081473A274E1D5246"/>
          </w:pPr>
          <w:r w:rsidRPr="00C003DC">
            <w:rPr>
              <w:rStyle w:val="PlaceholderText"/>
              <w:u w:val="single"/>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828"/>
    <w:rsid w:val="00021DB1"/>
    <w:rsid w:val="00030FA6"/>
    <w:rsid w:val="0004247B"/>
    <w:rsid w:val="00051AC2"/>
    <w:rsid w:val="00094400"/>
    <w:rsid w:val="000A2DB3"/>
    <w:rsid w:val="000B0FF3"/>
    <w:rsid w:val="000C23DC"/>
    <w:rsid w:val="001063BA"/>
    <w:rsid w:val="00123927"/>
    <w:rsid w:val="00135DEF"/>
    <w:rsid w:val="00137FD7"/>
    <w:rsid w:val="00160819"/>
    <w:rsid w:val="001610BE"/>
    <w:rsid w:val="001754BD"/>
    <w:rsid w:val="00182243"/>
    <w:rsid w:val="00185FF8"/>
    <w:rsid w:val="00194140"/>
    <w:rsid w:val="001C180C"/>
    <w:rsid w:val="001C225D"/>
    <w:rsid w:val="001D6BED"/>
    <w:rsid w:val="001D781F"/>
    <w:rsid w:val="00210ED8"/>
    <w:rsid w:val="00212EC5"/>
    <w:rsid w:val="002353BE"/>
    <w:rsid w:val="00257AE8"/>
    <w:rsid w:val="00296A3A"/>
    <w:rsid w:val="002C7BCB"/>
    <w:rsid w:val="002D45CB"/>
    <w:rsid w:val="002D7C25"/>
    <w:rsid w:val="002E5548"/>
    <w:rsid w:val="002E6B38"/>
    <w:rsid w:val="00310D8E"/>
    <w:rsid w:val="0031274F"/>
    <w:rsid w:val="00326909"/>
    <w:rsid w:val="003375FF"/>
    <w:rsid w:val="00377ABB"/>
    <w:rsid w:val="0038041B"/>
    <w:rsid w:val="0039711E"/>
    <w:rsid w:val="003C05CD"/>
    <w:rsid w:val="003C6EE9"/>
    <w:rsid w:val="00414FBC"/>
    <w:rsid w:val="004350CD"/>
    <w:rsid w:val="00435AAE"/>
    <w:rsid w:val="00472AB0"/>
    <w:rsid w:val="00482FEA"/>
    <w:rsid w:val="00490CCA"/>
    <w:rsid w:val="00495CFD"/>
    <w:rsid w:val="004B6AD4"/>
    <w:rsid w:val="004C6F28"/>
    <w:rsid w:val="004D3464"/>
    <w:rsid w:val="004D3E72"/>
    <w:rsid w:val="004D5293"/>
    <w:rsid w:val="004F09D3"/>
    <w:rsid w:val="00523CD6"/>
    <w:rsid w:val="00531093"/>
    <w:rsid w:val="005324D4"/>
    <w:rsid w:val="005773E4"/>
    <w:rsid w:val="005B4935"/>
    <w:rsid w:val="005C7892"/>
    <w:rsid w:val="005D2A45"/>
    <w:rsid w:val="005D45EC"/>
    <w:rsid w:val="005E6384"/>
    <w:rsid w:val="005E75A0"/>
    <w:rsid w:val="0062075B"/>
    <w:rsid w:val="006222FF"/>
    <w:rsid w:val="006329D6"/>
    <w:rsid w:val="00652A8C"/>
    <w:rsid w:val="006707A9"/>
    <w:rsid w:val="006A6D5B"/>
    <w:rsid w:val="006F22A8"/>
    <w:rsid w:val="007173C6"/>
    <w:rsid w:val="00746B9E"/>
    <w:rsid w:val="007566B1"/>
    <w:rsid w:val="00781C16"/>
    <w:rsid w:val="0079533C"/>
    <w:rsid w:val="007E46B2"/>
    <w:rsid w:val="007E497F"/>
    <w:rsid w:val="007F2049"/>
    <w:rsid w:val="00810AC9"/>
    <w:rsid w:val="0081423D"/>
    <w:rsid w:val="0082299F"/>
    <w:rsid w:val="00847330"/>
    <w:rsid w:val="00873920"/>
    <w:rsid w:val="00873AD7"/>
    <w:rsid w:val="00877AD1"/>
    <w:rsid w:val="008B4F99"/>
    <w:rsid w:val="00925484"/>
    <w:rsid w:val="00927EFC"/>
    <w:rsid w:val="00932D80"/>
    <w:rsid w:val="0094091E"/>
    <w:rsid w:val="009414C8"/>
    <w:rsid w:val="00993AEF"/>
    <w:rsid w:val="009B7209"/>
    <w:rsid w:val="009E312D"/>
    <w:rsid w:val="00A02B70"/>
    <w:rsid w:val="00A400E3"/>
    <w:rsid w:val="00A85400"/>
    <w:rsid w:val="00AB272C"/>
    <w:rsid w:val="00AC6CD7"/>
    <w:rsid w:val="00AF082D"/>
    <w:rsid w:val="00AF282B"/>
    <w:rsid w:val="00AF759F"/>
    <w:rsid w:val="00B10D81"/>
    <w:rsid w:val="00B16460"/>
    <w:rsid w:val="00B34027"/>
    <w:rsid w:val="00B431E6"/>
    <w:rsid w:val="00B47C38"/>
    <w:rsid w:val="00B55F95"/>
    <w:rsid w:val="00B56828"/>
    <w:rsid w:val="00B64A78"/>
    <w:rsid w:val="00B84A8A"/>
    <w:rsid w:val="00BB399D"/>
    <w:rsid w:val="00BC0141"/>
    <w:rsid w:val="00BD2C77"/>
    <w:rsid w:val="00BD7E67"/>
    <w:rsid w:val="00C063D4"/>
    <w:rsid w:val="00C13846"/>
    <w:rsid w:val="00C227BA"/>
    <w:rsid w:val="00C33795"/>
    <w:rsid w:val="00C40D29"/>
    <w:rsid w:val="00C44FD8"/>
    <w:rsid w:val="00CB0B25"/>
    <w:rsid w:val="00CB78B2"/>
    <w:rsid w:val="00CC407A"/>
    <w:rsid w:val="00CD33BE"/>
    <w:rsid w:val="00CD7059"/>
    <w:rsid w:val="00D00229"/>
    <w:rsid w:val="00D03DFC"/>
    <w:rsid w:val="00D42E88"/>
    <w:rsid w:val="00D4429F"/>
    <w:rsid w:val="00D537C4"/>
    <w:rsid w:val="00D56ABE"/>
    <w:rsid w:val="00D65FE6"/>
    <w:rsid w:val="00D70A3F"/>
    <w:rsid w:val="00D73C1A"/>
    <w:rsid w:val="00D808D6"/>
    <w:rsid w:val="00DA4245"/>
    <w:rsid w:val="00DC13A8"/>
    <w:rsid w:val="00DC15C5"/>
    <w:rsid w:val="00DD68CD"/>
    <w:rsid w:val="00DF0916"/>
    <w:rsid w:val="00E01048"/>
    <w:rsid w:val="00E0691B"/>
    <w:rsid w:val="00E40D38"/>
    <w:rsid w:val="00E70C7B"/>
    <w:rsid w:val="00E75EA3"/>
    <w:rsid w:val="00EC5D7A"/>
    <w:rsid w:val="00EF65D1"/>
    <w:rsid w:val="00EF7F53"/>
    <w:rsid w:val="00F109CE"/>
    <w:rsid w:val="00F47B7C"/>
    <w:rsid w:val="00F701D7"/>
    <w:rsid w:val="00F96B89"/>
    <w:rsid w:val="00FC727E"/>
    <w:rsid w:val="00FF045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400E3"/>
    <w:rPr>
      <w:color w:val="808080"/>
    </w:rPr>
  </w:style>
  <w:style w:type="paragraph" w:customStyle="1" w:styleId="65888A68E18248ADA2115A91DFE0CB68">
    <w:name w:val="65888A68E18248ADA2115A91DFE0CB68"/>
    <w:rsid w:val="00B56828"/>
  </w:style>
  <w:style w:type="paragraph" w:customStyle="1" w:styleId="C769F1D9111C47A19F2A3D6BC7A1AEB7">
    <w:name w:val="C769F1D9111C47A19F2A3D6BC7A1AEB7"/>
    <w:rsid w:val="00B56828"/>
  </w:style>
  <w:style w:type="paragraph" w:customStyle="1" w:styleId="4B5B5836B9EE415F969482693A0011F8">
    <w:name w:val="4B5B5836B9EE415F969482693A0011F8"/>
    <w:rsid w:val="00B56828"/>
  </w:style>
  <w:style w:type="paragraph" w:customStyle="1" w:styleId="401EB81479A942C1BC052FF8109855BC">
    <w:name w:val="401EB81479A942C1BC052FF8109855BC"/>
    <w:rsid w:val="005773E4"/>
    <w:rPr>
      <w:kern w:val="2"/>
    </w:rPr>
  </w:style>
  <w:style w:type="paragraph" w:customStyle="1" w:styleId="2D50045DD50D4C4380E7D8496F333D1A">
    <w:name w:val="2D50045DD50D4C4380E7D8496F333D1A"/>
    <w:rsid w:val="005773E4"/>
    <w:rPr>
      <w:kern w:val="2"/>
    </w:rPr>
  </w:style>
  <w:style w:type="paragraph" w:customStyle="1" w:styleId="C33B492E53C04BA081473A274E1D5246">
    <w:name w:val="C33B492E53C04BA081473A274E1D5246"/>
    <w:rsid w:val="00A400E3"/>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694be05e-0ada-4d9e-b879-b11750813aea">
      <UserInfo>
        <DisplayName>Balestracci, Kathleen</DisplayName>
        <AccountId>16</AccountId>
        <AccountType/>
      </UserInfo>
    </SharedWithUsers>
    <TaxCatchAll xmlns="694be05e-0ada-4d9e-b879-b11750813aea" xsi:nil="true"/>
    <lcf76f155ced4ddcb4097134ff3c332f xmlns="52e123fc-06a7-4c51-b408-b472ec6e7731">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7EDD7876A1F6D4D955DDB1EB67E715F" ma:contentTypeVersion="14" ma:contentTypeDescription="Create a new document." ma:contentTypeScope="" ma:versionID="b6c681379d15a0ed65b9ff73a1b680dc">
  <xsd:schema xmlns:xsd="http://www.w3.org/2001/XMLSchema" xmlns:xs="http://www.w3.org/2001/XMLSchema" xmlns:p="http://schemas.microsoft.com/office/2006/metadata/properties" xmlns:ns2="52e123fc-06a7-4c51-b408-b472ec6e7731" xmlns:ns3="694be05e-0ada-4d9e-b879-b11750813aea" targetNamespace="http://schemas.microsoft.com/office/2006/metadata/properties" ma:root="true" ma:fieldsID="eb8dca7cf89e7e04b3872a3038e813b9" ns2:_="" ns3:_="">
    <xsd:import namespace="52e123fc-06a7-4c51-b408-b472ec6e7731"/>
    <xsd:import namespace="694be05e-0ada-4d9e-b879-b11750813a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e123fc-06a7-4c51-b408-b472ec6e77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cd9ce95e-1345-4484-817e-41007f755313"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94be05e-0ada-4d9e-b879-b11750813a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fbb4c8f-1c9b-4075-b79c-cdfa3b015871}" ma:internalName="TaxCatchAll" ma:showField="CatchAllData" ma:web="694be05e-0ada-4d9e-b879-b11750813a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28ED8B-1A87-4833-824A-98DF9454989E}">
  <ds:schemaRefs>
    <ds:schemaRef ds:uri="http://schemas.openxmlformats.org/officeDocument/2006/bibliography"/>
  </ds:schemaRefs>
</ds:datastoreItem>
</file>

<file path=customXml/itemProps2.xml><?xml version="1.0" encoding="utf-8"?>
<ds:datastoreItem xmlns:ds="http://schemas.openxmlformats.org/officeDocument/2006/customXml" ds:itemID="{7F7F7AE0-599F-4C49-B312-32EE4F837838}">
  <ds:schemaRefs>
    <ds:schemaRef ds:uri="http://schemas.microsoft.com/sharepoint/v3/contenttype/forms"/>
  </ds:schemaRefs>
</ds:datastoreItem>
</file>

<file path=customXml/itemProps3.xml><?xml version="1.0" encoding="utf-8"?>
<ds:datastoreItem xmlns:ds="http://schemas.openxmlformats.org/officeDocument/2006/customXml" ds:itemID="{BB238A6D-CBA3-4286-91A2-4AE2324CCFF1}">
  <ds:schemaRefs>
    <ds:schemaRef ds:uri="http://schemas.microsoft.com/office/2006/metadata/properties"/>
    <ds:schemaRef ds:uri="http://schemas.microsoft.com/office/infopath/2007/PartnerControls"/>
    <ds:schemaRef ds:uri="694be05e-0ada-4d9e-b879-b11750813aea"/>
    <ds:schemaRef ds:uri="52e123fc-06a7-4c51-b408-b472ec6e7731"/>
  </ds:schemaRefs>
</ds:datastoreItem>
</file>

<file path=customXml/itemProps4.xml><?xml version="1.0" encoding="utf-8"?>
<ds:datastoreItem xmlns:ds="http://schemas.openxmlformats.org/officeDocument/2006/customXml" ds:itemID="{1E429152-6673-4E6F-97DC-BA7BBFBDA9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e123fc-06a7-4c51-b408-b472ec6e7731"/>
    <ds:schemaRef ds:uri="694be05e-0ada-4d9e-b879-b11750813a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32</Pages>
  <Words>8629</Words>
  <Characters>49188</Characters>
  <Application>Microsoft Office Word</Application>
  <DocSecurity>0</DocSecurity>
  <Lines>409</Lines>
  <Paragraphs>115</Paragraphs>
  <ScaleCrop>false</ScaleCrop>
  <Manager/>
  <Company>CMS</Company>
  <LinksUpToDate>false</LinksUpToDate>
  <CharactersWithSpaces>57702</CharactersWithSpaces>
  <SharedDoc>false</SharedDoc>
  <HLinks>
    <vt:vector size="72" baseType="variant">
      <vt:variant>
        <vt:i4>3670131</vt:i4>
      </vt:variant>
      <vt:variant>
        <vt:i4>69</vt:i4>
      </vt:variant>
      <vt:variant>
        <vt:i4>0</vt:i4>
      </vt:variant>
      <vt:variant>
        <vt:i4>5</vt:i4>
      </vt:variant>
      <vt:variant>
        <vt:lpwstr/>
      </vt:variant>
      <vt:variant>
        <vt:lpwstr>table5</vt:lpwstr>
      </vt:variant>
      <vt:variant>
        <vt:i4>3735667</vt:i4>
      </vt:variant>
      <vt:variant>
        <vt:i4>66</vt:i4>
      </vt:variant>
      <vt:variant>
        <vt:i4>0</vt:i4>
      </vt:variant>
      <vt:variant>
        <vt:i4>5</vt:i4>
      </vt:variant>
      <vt:variant>
        <vt:lpwstr/>
      </vt:variant>
      <vt:variant>
        <vt:lpwstr>table4</vt:lpwstr>
      </vt:variant>
      <vt:variant>
        <vt:i4>4063347</vt:i4>
      </vt:variant>
      <vt:variant>
        <vt:i4>63</vt:i4>
      </vt:variant>
      <vt:variant>
        <vt:i4>0</vt:i4>
      </vt:variant>
      <vt:variant>
        <vt:i4>5</vt:i4>
      </vt:variant>
      <vt:variant>
        <vt:lpwstr/>
      </vt:variant>
      <vt:variant>
        <vt:lpwstr>table3</vt:lpwstr>
      </vt:variant>
      <vt:variant>
        <vt:i4>4128883</vt:i4>
      </vt:variant>
      <vt:variant>
        <vt:i4>60</vt:i4>
      </vt:variant>
      <vt:variant>
        <vt:i4>0</vt:i4>
      </vt:variant>
      <vt:variant>
        <vt:i4>5</vt:i4>
      </vt:variant>
      <vt:variant>
        <vt:lpwstr/>
      </vt:variant>
      <vt:variant>
        <vt:lpwstr>table2</vt:lpwstr>
      </vt:variant>
      <vt:variant>
        <vt:i4>3932275</vt:i4>
      </vt:variant>
      <vt:variant>
        <vt:i4>57</vt:i4>
      </vt:variant>
      <vt:variant>
        <vt:i4>0</vt:i4>
      </vt:variant>
      <vt:variant>
        <vt:i4>5</vt:i4>
      </vt:variant>
      <vt:variant>
        <vt:lpwstr/>
      </vt:variant>
      <vt:variant>
        <vt:lpwstr>table1</vt:lpwstr>
      </vt:variant>
      <vt:variant>
        <vt:i4>3473508</vt:i4>
      </vt:variant>
      <vt:variant>
        <vt:i4>18</vt:i4>
      </vt:variant>
      <vt:variant>
        <vt:i4>0</vt:i4>
      </vt:variant>
      <vt:variant>
        <vt:i4>5</vt:i4>
      </vt:variant>
      <vt:variant>
        <vt:lpwstr>https://www.edbenchmarking.com/</vt:lpwstr>
      </vt:variant>
      <vt:variant>
        <vt:lpwstr/>
      </vt:variant>
      <vt:variant>
        <vt:i4>2490492</vt:i4>
      </vt:variant>
      <vt:variant>
        <vt:i4>3</vt:i4>
      </vt:variant>
      <vt:variant>
        <vt:i4>0</vt:i4>
      </vt:variant>
      <vt:variant>
        <vt:i4>5</vt:i4>
      </vt:variant>
      <vt:variant>
        <vt:lpwstr>https://effectivehealthcare.ahrq.gov/about/epc</vt:lpwstr>
      </vt:variant>
      <vt:variant>
        <vt:lpwstr/>
      </vt:variant>
      <vt:variant>
        <vt:i4>5767169</vt:i4>
      </vt:variant>
      <vt:variant>
        <vt:i4>0</vt:i4>
      </vt:variant>
      <vt:variant>
        <vt:i4>0</vt:i4>
      </vt:variant>
      <vt:variant>
        <vt:i4>5</vt:i4>
      </vt:variant>
      <vt:variant>
        <vt:lpwstr/>
      </vt:variant>
      <vt:variant>
        <vt:lpwstr>Fig1</vt:lpwstr>
      </vt:variant>
      <vt:variant>
        <vt:i4>720994</vt:i4>
      </vt:variant>
      <vt:variant>
        <vt:i4>3</vt:i4>
      </vt:variant>
      <vt:variant>
        <vt:i4>0</vt:i4>
      </vt:variant>
      <vt:variant>
        <vt:i4>5</vt:i4>
      </vt:variant>
      <vt:variant>
        <vt:lpwstr>mailto:clarissa.myers@yale.edu</vt:lpwstr>
      </vt:variant>
      <vt:variant>
        <vt:lpwstr/>
      </vt:variant>
      <vt:variant>
        <vt:i4>4390946</vt:i4>
      </vt:variant>
      <vt:variant>
        <vt:i4>0</vt:i4>
      </vt:variant>
      <vt:variant>
        <vt:i4>0</vt:i4>
      </vt:variant>
      <vt:variant>
        <vt:i4>5</vt:i4>
      </vt:variant>
      <vt:variant>
        <vt:lpwstr>mailto:amy.moyer@yale.edu</vt:lpwstr>
      </vt:variant>
      <vt:variant>
        <vt:lpwstr/>
      </vt:variant>
      <vt:variant>
        <vt:i4>5767237</vt:i4>
      </vt:variant>
      <vt:variant>
        <vt:i4>3</vt:i4>
      </vt:variant>
      <vt:variant>
        <vt:i4>0</vt:i4>
      </vt:variant>
      <vt:variant>
        <vt:i4>5</vt:i4>
      </vt:variant>
      <vt:variant>
        <vt:lpwstr>https://doi.org/10.1111/jgs.17740</vt:lpwstr>
      </vt:variant>
      <vt:variant>
        <vt:lpwstr/>
      </vt:variant>
      <vt:variant>
        <vt:i4>3604539</vt:i4>
      </vt:variant>
      <vt:variant>
        <vt:i4>0</vt:i4>
      </vt:variant>
      <vt:variant>
        <vt:i4>0</vt:i4>
      </vt:variant>
      <vt:variant>
        <vt:i4>5</vt:i4>
      </vt:variant>
      <vt:variant>
        <vt:lpwstr>https://doi.org/10.1016/j.auec.2019.01.001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Blueprint Measure Information and Justification Form and Instructions</dc:title>
  <dc:subject>Measure Information and Justification Form and Instructions</dc:subject>
  <dc:creator>Centers for Medicare &amp; Medicaid Services (CMS)</dc:creator>
  <cp:keywords>Measure Information, Justification, Form, Instructions</cp:keywords>
  <dc:description/>
  <cp:lastModifiedBy>Myers, Clarissa</cp:lastModifiedBy>
  <cp:revision>531</cp:revision>
  <dcterms:created xsi:type="dcterms:W3CDTF">2024-08-07T19:29:00Z</dcterms:created>
  <dcterms:modified xsi:type="dcterms:W3CDTF">2024-08-15T19:29:00Z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0x01010077EDD7876A1F6D4D955DDB1EB67E715F</vt:lpwstr>
  </property>
  <property fmtid="{D5CDD505-2E9C-101B-9397-08002B2CF9AE}" pid="3" name="MediaServiceImageTags">
    <vt:lpwstr/>
  </property>
</Properties>
</file>