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E0FE3" w14:textId="77777777" w:rsidR="00C00243" w:rsidRPr="00D63635" w:rsidRDefault="00571AE2" w:rsidP="00C00243">
      <w:pPr>
        <w:pStyle w:val="Heading1"/>
        <w:jc w:val="center"/>
        <w:rPr>
          <w:rFonts w:ascii="Arial" w:hAnsi="Arial" w:cs="Arial"/>
          <w:b/>
          <w:bCs/>
          <w:color w:val="auto"/>
          <w:sz w:val="22"/>
          <w:szCs w:val="22"/>
        </w:rPr>
      </w:pPr>
      <w:bookmarkStart w:id="0" w:name="_Hlk93317549"/>
      <w:r w:rsidRPr="00D63635" w:rsidDel="00C00243">
        <w:rPr>
          <w:rFonts w:ascii="Arial" w:hAnsi="Arial" w:cs="Arial"/>
          <w:b/>
          <w:color w:val="auto"/>
          <w:sz w:val="22"/>
          <w:szCs w:val="22"/>
        </w:rPr>
        <w:t>202</w:t>
      </w:r>
      <w:r w:rsidR="75DAD56E" w:rsidRPr="00D63635" w:rsidDel="00C00243">
        <w:rPr>
          <w:rFonts w:ascii="Arial" w:hAnsi="Arial" w:cs="Arial"/>
          <w:b/>
          <w:color w:val="auto"/>
          <w:sz w:val="22"/>
          <w:szCs w:val="22"/>
        </w:rPr>
        <w:t>4</w:t>
      </w:r>
      <w:r w:rsidRPr="00D63635" w:rsidDel="00C00243">
        <w:rPr>
          <w:rFonts w:ascii="Arial" w:hAnsi="Arial" w:cs="Arial"/>
          <w:b/>
          <w:color w:val="auto"/>
          <w:sz w:val="22"/>
          <w:szCs w:val="22"/>
        </w:rPr>
        <w:t xml:space="preserve"> </w:t>
      </w:r>
      <w:r w:rsidR="00332C94" w:rsidRPr="00D63635" w:rsidDel="00C00243">
        <w:rPr>
          <w:rFonts w:ascii="Arial" w:hAnsi="Arial" w:cs="Arial"/>
          <w:b/>
          <w:color w:val="auto"/>
          <w:sz w:val="22"/>
          <w:szCs w:val="22"/>
        </w:rPr>
        <w:t xml:space="preserve">MIPS </w:t>
      </w:r>
      <w:r w:rsidR="00ED5E4C" w:rsidRPr="00D63635" w:rsidDel="00C00243">
        <w:rPr>
          <w:rFonts w:ascii="Arial" w:hAnsi="Arial" w:cs="Arial"/>
          <w:b/>
          <w:color w:val="auto"/>
          <w:sz w:val="22"/>
          <w:szCs w:val="22"/>
        </w:rPr>
        <w:t>Peer</w:t>
      </w:r>
      <w:r w:rsidR="00EA06EB" w:rsidRPr="00D63635" w:rsidDel="00C00243">
        <w:rPr>
          <w:rFonts w:ascii="Arial" w:hAnsi="Arial" w:cs="Arial"/>
          <w:b/>
          <w:color w:val="auto"/>
          <w:sz w:val="22"/>
          <w:szCs w:val="22"/>
        </w:rPr>
        <w:t>-</w:t>
      </w:r>
      <w:r w:rsidR="00ED5E4C" w:rsidRPr="00D63635" w:rsidDel="00C00243">
        <w:rPr>
          <w:rFonts w:ascii="Arial" w:hAnsi="Arial" w:cs="Arial"/>
          <w:b/>
          <w:color w:val="auto"/>
          <w:sz w:val="22"/>
          <w:szCs w:val="22"/>
        </w:rPr>
        <w:t xml:space="preserve">Reviewed Journal Article </w:t>
      </w:r>
      <w:r w:rsidR="00ED5E4C" w:rsidRPr="000271EB" w:rsidDel="00C00243">
        <w:rPr>
          <w:rFonts w:ascii="Arial" w:hAnsi="Arial" w:cs="Arial"/>
          <w:b/>
          <w:color w:val="auto"/>
          <w:sz w:val="22"/>
          <w:szCs w:val="22"/>
        </w:rPr>
        <w:t>Requirement</w:t>
      </w:r>
      <w:r w:rsidR="00ED5E4C" w:rsidRPr="00D63635" w:rsidDel="00C00243">
        <w:rPr>
          <w:rFonts w:ascii="Arial" w:hAnsi="Arial" w:cs="Arial"/>
          <w:b/>
          <w:color w:val="auto"/>
          <w:sz w:val="22"/>
          <w:szCs w:val="22"/>
        </w:rPr>
        <w:t xml:space="preserve"> Template</w:t>
      </w:r>
    </w:p>
    <w:p w14:paraId="0B8D327A" w14:textId="64ECA080" w:rsidR="00ED5E4C" w:rsidRDefault="00ED5E4C" w:rsidP="00ED5E4C">
      <w:pPr>
        <w:rPr>
          <w:rFonts w:ascii="Arial" w:hAnsi="Arial" w:cs="Arial"/>
          <w:color w:val="000000"/>
        </w:rPr>
      </w:pPr>
      <w:r w:rsidRPr="7FBADEA3">
        <w:rPr>
          <w:rFonts w:ascii="Arial" w:hAnsi="Arial" w:cs="Arial"/>
          <w:color w:val="000000" w:themeColor="text1"/>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081726D" w:rsidRPr="7FBADEA3">
        <w:rPr>
          <w:rFonts w:ascii="Arial" w:hAnsi="Arial" w:cs="Arial"/>
          <w:color w:val="000000" w:themeColor="text1"/>
        </w:rPr>
        <w:t xml:space="preserve"> </w:t>
      </w:r>
      <w:r w:rsidR="00EE222C">
        <w:rPr>
          <w:rFonts w:ascii="Arial" w:hAnsi="Arial" w:cs="Arial"/>
          <w:color w:val="000000" w:themeColor="text1"/>
        </w:rPr>
        <w:t>Such</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measures will be submitted by the Centers for Medicare &amp; Medicaid Services (CMS), to a journal(s), before including any new measure </w:t>
      </w:r>
      <w:r w:rsidR="00EE222C">
        <w:rPr>
          <w:rFonts w:ascii="Arial" w:hAnsi="Arial" w:cs="Arial"/>
          <w:color w:val="000000" w:themeColor="text1"/>
        </w:rPr>
        <w:t>on</w:t>
      </w:r>
      <w:r w:rsidR="00EE222C" w:rsidRPr="7FBADEA3">
        <w:rPr>
          <w:rFonts w:ascii="Arial" w:hAnsi="Arial" w:cs="Arial"/>
          <w:color w:val="000000" w:themeColor="text1"/>
        </w:rPr>
        <w:t xml:space="preserve"> </w:t>
      </w:r>
      <w:r w:rsidR="00C4710B" w:rsidRPr="7FBADEA3">
        <w:rPr>
          <w:rFonts w:ascii="Arial" w:hAnsi="Arial" w:cs="Arial"/>
          <w:color w:val="000000" w:themeColor="text1"/>
        </w:rPr>
        <w:t xml:space="preserve">the </w:t>
      </w:r>
      <w:r w:rsidR="000D4FDF" w:rsidRPr="7FBADEA3">
        <w:rPr>
          <w:rFonts w:ascii="Arial" w:hAnsi="Arial" w:cs="Arial"/>
          <w:color w:val="000000" w:themeColor="text1"/>
        </w:rPr>
        <w:t>MIPS Quality Measures List</w:t>
      </w:r>
      <w:r w:rsidR="00C4710B" w:rsidRPr="7FBADEA3">
        <w:rPr>
          <w:rFonts w:ascii="Arial" w:hAnsi="Arial" w:cs="Arial"/>
          <w:color w:val="000000" w:themeColor="text1"/>
        </w:rPr>
        <w:t xml:space="preserve">. </w:t>
      </w:r>
      <w:r w:rsidRPr="7FBADEA3">
        <w:rPr>
          <w:rFonts w:ascii="Arial" w:hAnsi="Arial" w:cs="Arial"/>
          <w:color w:val="000000" w:themeColor="text1"/>
        </w:rPr>
        <w:t xml:space="preserve">The measure </w:t>
      </w:r>
      <w:r w:rsidR="00A24376" w:rsidRPr="7FBADEA3">
        <w:rPr>
          <w:rFonts w:ascii="Arial" w:hAnsi="Arial" w:cs="Arial"/>
          <w:color w:val="000000" w:themeColor="text1"/>
        </w:rPr>
        <w:t xml:space="preserve">submitter </w:t>
      </w:r>
      <w:r w:rsidRPr="7FBADEA3">
        <w:rPr>
          <w:rFonts w:ascii="Arial" w:hAnsi="Arial" w:cs="Arial"/>
          <w:color w:val="000000" w:themeColor="text1"/>
        </w:rPr>
        <w:t xml:space="preserve">shall provide the required information for article submission under the MACRA per </w:t>
      </w:r>
      <w:r w:rsidR="009F5C76" w:rsidRPr="7FBADEA3">
        <w:rPr>
          <w:rFonts w:ascii="Arial" w:hAnsi="Arial" w:cs="Arial"/>
          <w:color w:val="000000" w:themeColor="text1"/>
        </w:rPr>
        <w:t xml:space="preserve">the </w:t>
      </w:r>
      <w:r w:rsidR="00EE222C">
        <w:rPr>
          <w:rFonts w:ascii="Arial" w:hAnsi="Arial" w:cs="Arial"/>
          <w:color w:val="000000" w:themeColor="text1"/>
        </w:rPr>
        <w:t>MIPS Annual</w:t>
      </w:r>
      <w:r w:rsidR="00EE222C" w:rsidRPr="7FBADEA3">
        <w:rPr>
          <w:rFonts w:ascii="Arial" w:hAnsi="Arial" w:cs="Arial"/>
          <w:color w:val="000000" w:themeColor="text1"/>
        </w:rPr>
        <w:t xml:space="preserve"> </w:t>
      </w:r>
      <w:r w:rsidRPr="7FBADEA3">
        <w:rPr>
          <w:rFonts w:ascii="Arial" w:hAnsi="Arial" w:cs="Arial"/>
          <w:color w:val="000000" w:themeColor="text1"/>
        </w:rPr>
        <w:t xml:space="preserve">Call for </w:t>
      </w:r>
      <w:r w:rsidR="00552A8C" w:rsidRPr="7FBADEA3">
        <w:rPr>
          <w:rFonts w:ascii="Arial" w:hAnsi="Arial" w:cs="Arial"/>
          <w:color w:val="000000" w:themeColor="text1"/>
        </w:rPr>
        <w:t xml:space="preserve">Quality </w:t>
      </w:r>
      <w:r w:rsidRPr="7FBADEA3">
        <w:rPr>
          <w:rFonts w:ascii="Arial" w:hAnsi="Arial" w:cs="Arial"/>
          <w:color w:val="000000" w:themeColor="text1"/>
        </w:rPr>
        <w:t>Measures submission process.</w:t>
      </w:r>
    </w:p>
    <w:p w14:paraId="42D62858" w14:textId="3320FD15" w:rsidR="00ED5E4C" w:rsidRPr="005D7BAE" w:rsidRDefault="00EE222C" w:rsidP="00ED5E4C">
      <w:pPr>
        <w:rPr>
          <w:rFonts w:ascii="Arial" w:hAnsi="Arial" w:cs="Arial"/>
        </w:rPr>
      </w:pPr>
      <w:r>
        <w:rPr>
          <w:rFonts w:ascii="Arial" w:hAnsi="Arial" w:cs="Arial"/>
          <w:color w:val="000000"/>
        </w:rPr>
        <w:t xml:space="preserve">Interested parties </w:t>
      </w:r>
      <w:r w:rsidR="00ED5E4C">
        <w:rPr>
          <w:rFonts w:ascii="Arial" w:hAnsi="Arial" w:cs="Arial"/>
          <w:color w:val="000000"/>
        </w:rPr>
        <w:t xml:space="preserve">submitting measures </w:t>
      </w:r>
      <w:r w:rsidRPr="32030D9D">
        <w:rPr>
          <w:rFonts w:ascii="Arial" w:hAnsi="Arial" w:cs="Arial"/>
          <w:color w:val="000000" w:themeColor="text1"/>
        </w:rPr>
        <w:t xml:space="preserve">for consideration through </w:t>
      </w:r>
      <w:r w:rsidR="00ED5E4C">
        <w:rPr>
          <w:rFonts w:ascii="Arial" w:hAnsi="Arial" w:cs="Arial"/>
          <w:color w:val="000000"/>
        </w:rPr>
        <w:t xml:space="preserve">the MIPS </w:t>
      </w:r>
      <w:r>
        <w:rPr>
          <w:rFonts w:ascii="Arial" w:hAnsi="Arial" w:cs="Arial"/>
          <w:color w:val="000000"/>
        </w:rPr>
        <w:t xml:space="preserve">Annual </w:t>
      </w:r>
      <w:r w:rsidR="00ED5E4C">
        <w:rPr>
          <w:rFonts w:ascii="Arial" w:hAnsi="Arial" w:cs="Arial"/>
          <w:color w:val="000000"/>
        </w:rPr>
        <w:t>Call for Quality Measures</w:t>
      </w:r>
      <w:r w:rsidR="00ED5E4C" w:rsidRPr="005D6A32">
        <w:rPr>
          <w:rFonts w:ascii="Arial" w:hAnsi="Arial" w:cs="Arial"/>
          <w:color w:val="000000"/>
        </w:rPr>
        <w:t xml:space="preserve"> must complete the required information by</w:t>
      </w:r>
      <w:r w:rsidR="00ED5E4C">
        <w:rPr>
          <w:rFonts w:ascii="Arial" w:hAnsi="Arial" w:cs="Arial"/>
          <w:color w:val="000000"/>
        </w:rPr>
        <w:t xml:space="preserve"> </w:t>
      </w:r>
      <w:r w:rsidR="00ED5E4C" w:rsidRPr="005D6A32">
        <w:rPr>
          <w:rFonts w:ascii="Arial" w:hAnsi="Arial" w:cs="Arial"/>
          <w:color w:val="000000"/>
        </w:rPr>
        <w:t xml:space="preserve">the </w:t>
      </w:r>
      <w:r>
        <w:rPr>
          <w:rFonts w:ascii="Arial" w:hAnsi="Arial" w:cs="Arial"/>
          <w:color w:val="000000"/>
        </w:rPr>
        <w:t xml:space="preserve">CMS </w:t>
      </w:r>
      <w:r w:rsidR="003D5D1A">
        <w:rPr>
          <w:rFonts w:ascii="Arial" w:hAnsi="Arial" w:cs="Arial"/>
          <w:color w:val="000000"/>
        </w:rPr>
        <w:t xml:space="preserve">Annual </w:t>
      </w:r>
      <w:r w:rsidR="00ED5E4C" w:rsidRPr="005D6A32">
        <w:rPr>
          <w:rFonts w:ascii="Arial" w:hAnsi="Arial" w:cs="Arial"/>
          <w:color w:val="000000"/>
        </w:rPr>
        <w:t>Call for Measures deadline</w:t>
      </w:r>
      <w:r>
        <w:rPr>
          <w:rFonts w:ascii="Arial" w:hAnsi="Arial" w:cs="Arial"/>
          <w:color w:val="000000"/>
        </w:rPr>
        <w:t xml:space="preserve"> </w:t>
      </w:r>
      <w:r>
        <w:rPr>
          <w:rFonts w:ascii="Arial" w:hAnsi="Arial" w:cs="Arial"/>
          <w:color w:val="000000" w:themeColor="text1"/>
        </w:rPr>
        <w:t>(</w:t>
      </w:r>
      <w:r>
        <w:rPr>
          <w:rFonts w:ascii="Arial" w:hAnsi="Arial" w:cs="Arial"/>
          <w:color w:val="000000"/>
        </w:rPr>
        <w:t>8 p.m. ET on May 10, 2024)</w:t>
      </w:r>
      <w:r w:rsidR="00ED5E4C" w:rsidRPr="005D6A32">
        <w:rPr>
          <w:rFonts w:ascii="Arial" w:hAnsi="Arial" w:cs="Arial"/>
          <w:color w:val="000000"/>
        </w:rPr>
        <w:t xml:space="preserve">. </w:t>
      </w:r>
      <w:r w:rsidR="00ED5E4C" w:rsidRPr="005D7BAE">
        <w:rPr>
          <w:rFonts w:ascii="Arial" w:hAnsi="Arial" w:cs="Arial"/>
          <w:color w:val="000000"/>
        </w:rPr>
        <w:t>Some of the information requested below may be listed in specific fields in the</w:t>
      </w:r>
      <w:r>
        <w:rPr>
          <w:rFonts w:ascii="Arial" w:hAnsi="Arial" w:cs="Arial"/>
          <w:color w:val="000000"/>
        </w:rPr>
        <w:t xml:space="preserve"> CMS</w:t>
      </w:r>
      <w:r w:rsidR="00ED5E4C" w:rsidRPr="005D7BAE">
        <w:rPr>
          <w:rFonts w:ascii="Arial" w:hAnsi="Arial" w:cs="Arial"/>
          <w:color w:val="000000"/>
        </w:rPr>
        <w:t xml:space="preserve"> </w:t>
      </w:r>
      <w:r w:rsidR="00C4710B">
        <w:rPr>
          <w:rFonts w:ascii="Arial" w:hAnsi="Arial" w:cs="Arial"/>
          <w:color w:val="000000"/>
        </w:rPr>
        <w:t>Measures Under Consideration (</w:t>
      </w:r>
      <w:r w:rsidR="00ED5E4C">
        <w:rPr>
          <w:rFonts w:ascii="Arial" w:hAnsi="Arial" w:cs="Arial"/>
          <w:color w:val="000000"/>
        </w:rPr>
        <w:t>MUC</w:t>
      </w:r>
      <w:r w:rsidR="00C4710B">
        <w:rPr>
          <w:rFonts w:ascii="Arial" w:hAnsi="Arial" w:cs="Arial"/>
          <w:color w:val="000000"/>
        </w:rPr>
        <w:t>)</w:t>
      </w:r>
      <w:r w:rsidR="00ED5E4C">
        <w:rPr>
          <w:rFonts w:ascii="Arial" w:hAnsi="Arial" w:cs="Arial"/>
          <w:color w:val="000000"/>
        </w:rPr>
        <w:t xml:space="preserve"> Entry/Review Information T</w:t>
      </w:r>
      <w:r w:rsidR="00ED5E4C" w:rsidRPr="005D7BAE">
        <w:rPr>
          <w:rFonts w:ascii="Arial" w:hAnsi="Arial" w:cs="Arial"/>
          <w:color w:val="000000"/>
        </w:rPr>
        <w:t>ool</w:t>
      </w:r>
      <w:r w:rsidR="00ED5E4C">
        <w:rPr>
          <w:rFonts w:ascii="Arial" w:hAnsi="Arial" w:cs="Arial"/>
          <w:color w:val="000000"/>
        </w:rPr>
        <w:t xml:space="preserve"> (MERIT);</w:t>
      </w:r>
      <w:r w:rsidR="00ED5E4C" w:rsidRPr="005D7BAE">
        <w:rPr>
          <w:rFonts w:ascii="Arial" w:hAnsi="Arial" w:cs="Arial"/>
          <w:color w:val="000000"/>
        </w:rPr>
        <w:t xml:space="preserve"> </w:t>
      </w:r>
      <w:r w:rsidR="00ED5E4C" w:rsidRPr="00603E10">
        <w:rPr>
          <w:rFonts w:ascii="Arial" w:hAnsi="Arial" w:cs="Arial"/>
          <w:color w:val="000000"/>
        </w:rPr>
        <w:t>however, to ensure that CMS has all of the necessary information and avoid delays in the evaluation of your submission, please fully complete this form as</w:t>
      </w:r>
      <w:r w:rsidR="00ED5E4C">
        <w:rPr>
          <w:rFonts w:ascii="Arial" w:hAnsi="Arial" w:cs="Arial"/>
          <w:color w:val="000000"/>
        </w:rPr>
        <w:t xml:space="preserve"> an attached Word document. The</w:t>
      </w:r>
      <w:r w:rsidR="00ED5E4C" w:rsidRPr="00603E10">
        <w:rPr>
          <w:rFonts w:ascii="Arial" w:hAnsi="Arial" w:cs="Arial"/>
          <w:color w:val="000000"/>
        </w:rPr>
        <w:t xml:space="preserve"> information in </w:t>
      </w:r>
      <w:r w:rsidR="00ED5E4C">
        <w:rPr>
          <w:rFonts w:ascii="Arial" w:hAnsi="Arial" w:cs="Arial"/>
          <w:color w:val="000000"/>
        </w:rPr>
        <w:t>MERIT</w:t>
      </w:r>
      <w:r w:rsidR="00ED5E4C" w:rsidRPr="00603E10">
        <w:rPr>
          <w:rFonts w:ascii="Arial" w:hAnsi="Arial" w:cs="Arial"/>
          <w:color w:val="000000"/>
        </w:rPr>
        <w:t xml:space="preserve"> must be consis</w:t>
      </w:r>
      <w:r w:rsidR="00ED5E4C">
        <w:rPr>
          <w:rFonts w:ascii="Arial" w:hAnsi="Arial" w:cs="Arial"/>
          <w:color w:val="000000"/>
        </w:rPr>
        <w:t>tent with the information below</w:t>
      </w:r>
      <w:r w:rsidR="00624B8F">
        <w:rPr>
          <w:rFonts w:ascii="Arial" w:hAnsi="Arial" w:cs="Arial"/>
          <w:color w:val="000000"/>
        </w:rPr>
        <w:t xml:space="preserve">, </w:t>
      </w:r>
      <w:r>
        <w:rPr>
          <w:rFonts w:ascii="Arial" w:hAnsi="Arial" w:cs="Arial"/>
          <w:color w:val="000000"/>
        </w:rPr>
        <w:t xml:space="preserve">including the following, </w:t>
      </w:r>
      <w:r w:rsidR="00ED5E4C" w:rsidRPr="005D7BAE">
        <w:rPr>
          <w:rFonts w:ascii="Arial" w:hAnsi="Arial" w:cs="Arial"/>
        </w:rPr>
        <w:t>but</w:t>
      </w:r>
      <w:r w:rsidR="00ED5E4C" w:rsidRPr="005D7BAE" w:rsidDel="00EE222C">
        <w:rPr>
          <w:rFonts w:ascii="Arial" w:hAnsi="Arial" w:cs="Arial"/>
        </w:rPr>
        <w:t xml:space="preserve"> </w:t>
      </w:r>
      <w:r>
        <w:rPr>
          <w:rFonts w:ascii="Arial" w:hAnsi="Arial" w:cs="Arial"/>
        </w:rPr>
        <w:t>not</w:t>
      </w:r>
      <w:r w:rsidRPr="005D7BAE">
        <w:rPr>
          <w:rFonts w:ascii="Arial" w:hAnsi="Arial" w:cs="Arial"/>
        </w:rPr>
        <w:t xml:space="preserve"> </w:t>
      </w:r>
      <w:r w:rsidR="00ED5E4C" w:rsidRPr="005D7BAE">
        <w:rPr>
          <w:rFonts w:ascii="Arial" w:hAnsi="Arial" w:cs="Arial"/>
        </w:rPr>
        <w:t>limited to:</w:t>
      </w:r>
    </w:p>
    <w:p w14:paraId="1F2C9F1C" w14:textId="4D454EF3" w:rsidR="00216557" w:rsidRDefault="004C75DF" w:rsidP="003811D9">
      <w:pPr>
        <w:pStyle w:val="ListParagraph"/>
        <w:numPr>
          <w:ilvl w:val="0"/>
          <w:numId w:val="9"/>
        </w:numPr>
        <w:spacing w:before="240"/>
        <w:rPr>
          <w:rFonts w:ascii="Arial" w:hAnsi="Arial" w:cs="Arial"/>
          <w:bCs/>
          <w:iCs/>
        </w:rPr>
      </w:pPr>
      <w:r w:rsidRPr="00CF76B7">
        <w:rPr>
          <w:rFonts w:ascii="Arial" w:hAnsi="Arial" w:cs="Arial"/>
          <w:bCs/>
          <w:iCs/>
        </w:rPr>
        <w:t>Addressing Social Needs Electronic Clinical Quality Measure in the Outpatient Setting </w:t>
      </w:r>
    </w:p>
    <w:p w14:paraId="57F70097" w14:textId="77777777" w:rsidR="00CF76B7" w:rsidRPr="00CF76B7" w:rsidRDefault="00CF76B7" w:rsidP="00CF76B7">
      <w:pPr>
        <w:pStyle w:val="ListParagraph"/>
        <w:spacing w:before="240"/>
        <w:rPr>
          <w:rFonts w:ascii="Arial" w:hAnsi="Arial" w:cs="Arial"/>
          <w:bCs/>
          <w:iCs/>
        </w:rPr>
      </w:pPr>
    </w:p>
    <w:p w14:paraId="3E2C5E63" w14:textId="7764D237" w:rsidR="00BF4C5E" w:rsidRPr="00B36EC1" w:rsidRDefault="009528D6" w:rsidP="00B36EC1">
      <w:pPr>
        <w:pStyle w:val="ListParagraph"/>
        <w:numPr>
          <w:ilvl w:val="0"/>
          <w:numId w:val="9"/>
        </w:numPr>
        <w:rPr>
          <w:rFonts w:ascii="Arial" w:hAnsi="Arial" w:cs="Arial"/>
          <w:b/>
          <w:bCs/>
        </w:rPr>
      </w:pPr>
      <w:r w:rsidRPr="009528D6">
        <w:rPr>
          <w:rFonts w:ascii="Arial" w:hAnsi="Arial" w:cs="Arial"/>
          <w:b/>
          <w:bCs/>
        </w:rPr>
        <w:t>[Meaningful Measures 2.0 Framework Domain]</w:t>
      </w:r>
    </w:p>
    <w:p w14:paraId="591B304B" w14:textId="5CBBF387" w:rsidR="00BF4C5E" w:rsidRPr="00BF4C5E" w:rsidRDefault="00BF4C5E" w:rsidP="00BF4C5E">
      <w:pPr>
        <w:pStyle w:val="ListParagraph"/>
        <w:rPr>
          <w:rFonts w:ascii="Arial" w:hAnsi="Arial" w:cs="Arial"/>
          <w:b/>
          <w:bCs/>
        </w:rPr>
      </w:pPr>
      <w:r w:rsidRPr="5E188939">
        <w:rPr>
          <w:rFonts w:ascii="Arial" w:hAnsi="Arial" w:cs="Arial"/>
        </w:rPr>
        <w:t>Wellness and Prevention</w:t>
      </w:r>
    </w:p>
    <w:p w14:paraId="7B3AD8CA" w14:textId="77777777" w:rsidR="00ED5E4C" w:rsidRPr="00DD5758" w:rsidRDefault="00ED5E4C" w:rsidP="00ED5E4C">
      <w:pPr>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7403F373">
                <wp:extent cx="5019675" cy="2333625"/>
                <wp:effectExtent l="0" t="0" r="28575" b="28575"/>
                <wp:docPr id="217" name="Text Box 217"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2333625"/>
                        </a:xfrm>
                        <a:prstGeom prst="rect">
                          <a:avLst/>
                        </a:prstGeom>
                        <a:solidFill>
                          <a:srgbClr val="FFFFFF"/>
                        </a:solidFill>
                        <a:ln w="9525">
                          <a:solidFill>
                            <a:srgbClr val="000000"/>
                          </a:solidFill>
                          <a:miter lim="800000"/>
                          <a:headEnd/>
                          <a:tailEnd/>
                        </a:ln>
                      </wps:spPr>
                      <wps:txbx>
                        <w:txbxContent>
                          <w:p w14:paraId="190D00AF" w14:textId="2977FBA0" w:rsidR="00ED5E4C" w:rsidRPr="000156AE" w:rsidRDefault="00ED5E4C" w:rsidP="00ED5E4C">
                            <w:pPr>
                              <w:spacing w:after="0" w:line="240" w:lineRule="auto"/>
                              <w:rPr>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00CD46BC" w:rsidRPr="00CD46BC">
                              <w:rPr>
                                <w:iCs/>
                                <w:sz w:val="24"/>
                                <w:szCs w:val="24"/>
                              </w:rPr>
                              <w:t>Centers for Medicare &amp; Medicare Services </w:t>
                            </w:r>
                          </w:p>
                          <w:p w14:paraId="22DFEF00" w14:textId="7AFCF4CD" w:rsidR="00ED5E4C" w:rsidRPr="00A708D6" w:rsidRDefault="00ED5E4C" w:rsidP="00ED5E4C">
                            <w:pPr>
                              <w:spacing w:after="0" w:line="240" w:lineRule="auto"/>
                              <w:rPr>
                                <w:iCs/>
                              </w:rPr>
                            </w:pPr>
                            <w:r w:rsidRPr="000156AE">
                              <w:rPr>
                                <w:b/>
                                <w:sz w:val="24"/>
                                <w:szCs w:val="24"/>
                              </w:rPr>
                              <w:t>Measure Developer:</w:t>
                            </w:r>
                            <w:r w:rsidRPr="000156AE">
                              <w:rPr>
                                <w:b/>
                              </w:rPr>
                              <w:t xml:space="preserve"> </w:t>
                            </w:r>
                            <w:r w:rsidR="00D7408D" w:rsidRPr="00D7408D">
                              <w:rPr>
                                <w:iCs/>
                                <w:sz w:val="24"/>
                                <w:szCs w:val="24"/>
                              </w:rPr>
                              <w:t>Yale New Haven Health Services Corporation/Center for Outcomes Research and Evaluation</w:t>
                            </w:r>
                          </w:p>
                          <w:p w14:paraId="03E09A09" w14:textId="5D1272BE" w:rsidR="00ED5E4C" w:rsidRPr="00F960C8" w:rsidRDefault="00ED5E4C" w:rsidP="00ED5E4C">
                            <w:pPr>
                              <w:spacing w:after="0" w:line="240" w:lineRule="auto"/>
                              <w:rPr>
                                <w:sz w:val="24"/>
                                <w:szCs w:val="24"/>
                              </w:rPr>
                            </w:pPr>
                            <w:r w:rsidRPr="000156AE">
                              <w:rPr>
                                <w:b/>
                                <w:sz w:val="24"/>
                                <w:szCs w:val="24"/>
                              </w:rPr>
                              <w:t>Description:</w:t>
                            </w:r>
                            <w:r w:rsidR="00A768A3">
                              <w:rPr>
                                <w:b/>
                                <w:sz w:val="24"/>
                                <w:szCs w:val="24"/>
                              </w:rPr>
                              <w:t xml:space="preserve"> </w:t>
                            </w:r>
                            <w:r w:rsidR="004611B2" w:rsidRPr="00022885">
                              <w:rPr>
                                <w:bCs/>
                                <w:sz w:val="24"/>
                                <w:szCs w:val="24"/>
                              </w:rPr>
                              <w:t>The measure calculates the</w:t>
                            </w:r>
                            <w:r w:rsidR="004611B2">
                              <w:rPr>
                                <w:b/>
                                <w:sz w:val="24"/>
                                <w:szCs w:val="24"/>
                              </w:rPr>
                              <w:t xml:space="preserve"> </w:t>
                            </w:r>
                            <w:r w:rsidR="004611B2" w:rsidRPr="00F960C8">
                              <w:rPr>
                                <w:sz w:val="24"/>
                                <w:szCs w:val="24"/>
                              </w:rPr>
                              <w:t>p</w:t>
                            </w:r>
                            <w:r w:rsidR="00282C32" w:rsidRPr="00F960C8">
                              <w:rPr>
                                <w:sz w:val="24"/>
                                <w:szCs w:val="24"/>
                              </w:rPr>
                              <w:t>ercentages of patients with a qualifying evaluation and management outpatient visit during the performance period of all ages reflecting whether patients were assessed in four domains of social need: food, housing, transportation, and utilities, and whether the patient received a qualifying follow-up action within the visit for any positive social needs. Qualifying follow-up actions were identified from Gravity Project: adjustment, assistance/assisting, coordination, counseling, education, evaluation of eligibility, provision, and referral.</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17" o:spid="_x0000_s1026" type="#_x0000_t202" alt="Indicates measure owner, measure developer, and measure description" style="width:395.25pt;height:18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">
                <v:textbox>
                  <w:txbxContent>
                    <w:p w14:paraId="190D00AF" w14:textId="2977FBA0" w:rsidR="00ED5E4C" w:rsidRPr="000156AE" w:rsidRDefault="00ED5E4C" w:rsidP="00ED5E4C">
                      <w:pPr>
                        <w:spacing w:after="0" w:line="240" w:lineRule="auto"/>
                        <w:rPr>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00CD46BC" w:rsidRPr="00CD46BC">
                        <w:rPr>
                          <w:iCs/>
                          <w:sz w:val="24"/>
                          <w:szCs w:val="24"/>
                        </w:rPr>
                        <w:t>Centers for Medicare &amp; Medicare Services </w:t>
                      </w:r>
                    </w:p>
                    <w:p w14:paraId="22DFEF00" w14:textId="7AFCF4CD" w:rsidR="00ED5E4C" w:rsidRPr="00A708D6" w:rsidRDefault="00ED5E4C" w:rsidP="00ED5E4C">
                      <w:pPr>
                        <w:spacing w:after="0" w:line="240" w:lineRule="auto"/>
                        <w:rPr>
                          <w:iCs/>
                        </w:rPr>
                      </w:pPr>
                      <w:r w:rsidRPr="000156AE">
                        <w:rPr>
                          <w:b/>
                          <w:sz w:val="24"/>
                          <w:szCs w:val="24"/>
                        </w:rPr>
                        <w:t>Measure Developer:</w:t>
                      </w:r>
                      <w:r w:rsidRPr="000156AE">
                        <w:rPr>
                          <w:b/>
                        </w:rPr>
                        <w:t xml:space="preserve"> </w:t>
                      </w:r>
                      <w:r w:rsidR="00D7408D" w:rsidRPr="00D7408D">
                        <w:rPr>
                          <w:iCs/>
                          <w:sz w:val="24"/>
                          <w:szCs w:val="24"/>
                        </w:rPr>
                        <w:t>Yale New Haven Health Services Corporation/Center for Outcomes Research and Evaluation</w:t>
                      </w:r>
                    </w:p>
                    <w:p w14:paraId="03E09A09" w14:textId="5D1272BE" w:rsidR="00ED5E4C" w:rsidRPr="00F960C8" w:rsidRDefault="00ED5E4C" w:rsidP="00ED5E4C">
                      <w:pPr>
                        <w:spacing w:after="0" w:line="240" w:lineRule="auto"/>
                        <w:rPr>
                          <w:sz w:val="24"/>
                          <w:szCs w:val="24"/>
                        </w:rPr>
                      </w:pPr>
                      <w:r w:rsidRPr="000156AE">
                        <w:rPr>
                          <w:b/>
                          <w:sz w:val="24"/>
                          <w:szCs w:val="24"/>
                        </w:rPr>
                        <w:t>Description:</w:t>
                      </w:r>
                      <w:r w:rsidR="00A768A3">
                        <w:rPr>
                          <w:b/>
                          <w:sz w:val="24"/>
                          <w:szCs w:val="24"/>
                        </w:rPr>
                        <w:t xml:space="preserve"> </w:t>
                      </w:r>
                      <w:r w:rsidR="004611B2" w:rsidRPr="00022885">
                        <w:rPr>
                          <w:bCs/>
                          <w:sz w:val="24"/>
                          <w:szCs w:val="24"/>
                        </w:rPr>
                        <w:t>The measure calculates the</w:t>
                      </w:r>
                      <w:r w:rsidR="004611B2">
                        <w:rPr>
                          <w:b/>
                          <w:sz w:val="24"/>
                          <w:szCs w:val="24"/>
                        </w:rPr>
                        <w:t xml:space="preserve"> </w:t>
                      </w:r>
                      <w:r w:rsidR="004611B2" w:rsidRPr="00F960C8">
                        <w:rPr>
                          <w:sz w:val="24"/>
                          <w:szCs w:val="24"/>
                        </w:rPr>
                        <w:t>p</w:t>
                      </w:r>
                      <w:r w:rsidR="00282C32" w:rsidRPr="00F960C8">
                        <w:rPr>
                          <w:sz w:val="24"/>
                          <w:szCs w:val="24"/>
                        </w:rPr>
                        <w:t>ercentages of patients with a qualifying evaluation and management outpatient visit during the performance period of all ages reflecting whether patients were assessed in four domains of social need: food, housing, transportation, and utilities, and whether the patient received a qualifying follow-up action within the visit for any positive social needs. Qualifying follow-up actions were identified from Gravity Project: adjustment, assistance/assisting, coordination, counseling, education, evaluation of eligibility, provision, and referral.</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v:textbox>
                <w10:anchorlock/>
              </v:shape>
            </w:pict>
          </mc:Fallback>
        </mc:AlternateContent>
      </w:r>
    </w:p>
    <w:p w14:paraId="1B9BA5AF" w14:textId="77777777" w:rsidR="00ED5E4C" w:rsidRPr="00DD5758" w:rsidRDefault="00ED5E4C" w:rsidP="00ED5E4C">
      <w:pPr>
        <w:pStyle w:val="ListParagraph"/>
        <w:numPr>
          <w:ilvl w:val="0"/>
          <w:numId w:val="1"/>
        </w:numPr>
        <w:rPr>
          <w:rFonts w:ascii="Arial" w:hAnsi="Arial" w:cs="Arial"/>
          <w:b/>
        </w:rPr>
      </w:pPr>
      <w:r w:rsidRPr="00DD5758">
        <w:rPr>
          <w:rFonts w:ascii="Arial" w:hAnsi="Arial" w:cs="Arial"/>
          <w:b/>
        </w:rPr>
        <w:t>Statement</w:t>
      </w:r>
    </w:p>
    <w:p w14:paraId="59E49714" w14:textId="77777777" w:rsidR="00AC37B9" w:rsidRPr="00217B31" w:rsidRDefault="00ED5E4C" w:rsidP="00ED5E4C">
      <w:pPr>
        <w:pStyle w:val="ListParagraph"/>
        <w:numPr>
          <w:ilvl w:val="0"/>
          <w:numId w:val="3"/>
        </w:numPr>
        <w:rPr>
          <w:rFonts w:ascii="Arial" w:hAnsi="Arial" w:cs="Arial"/>
          <w:b/>
          <w:bCs/>
          <w:iCs/>
        </w:rPr>
      </w:pPr>
      <w:r w:rsidRPr="00217B31">
        <w:rPr>
          <w:rFonts w:ascii="Arial" w:hAnsi="Arial" w:cs="Arial"/>
          <w:b/>
          <w:bCs/>
          <w:iCs/>
        </w:rPr>
        <w:t>Background (Why is this measure important?)</w:t>
      </w:r>
    </w:p>
    <w:p w14:paraId="3D2FFE6B" w14:textId="3E705F5F" w:rsidR="00ED5E4C" w:rsidRDefault="00AC37B9" w:rsidP="00CF76B7">
      <w:pPr>
        <w:pStyle w:val="ListParagraph"/>
        <w:ind w:left="1440"/>
        <w:rPr>
          <w:rFonts w:ascii="Arial" w:hAnsi="Arial" w:cs="Arial"/>
          <w:iCs/>
        </w:rPr>
      </w:pPr>
      <w:r w:rsidRPr="00AC37B9">
        <w:rPr>
          <w:rFonts w:ascii="Arial" w:hAnsi="Arial" w:cs="Arial"/>
          <w:iCs/>
        </w:rPr>
        <w:t>Assessments for social needs provides an opportunity to improve population health and advance health equity. The measure is aligned with CMS National Quality Strategy goal to address the disparities that underlie our health system, both within and across settings, to ensure equitable access and care for all.</w:t>
      </w:r>
      <w:r w:rsidR="0095501D" w:rsidRPr="0095501D">
        <w:rPr>
          <w:rFonts w:ascii="Arial" w:hAnsi="Arial" w:cs="Arial"/>
          <w:iCs/>
          <w:vertAlign w:val="superscript"/>
        </w:rPr>
        <w:t>1</w:t>
      </w:r>
      <w:r w:rsidRPr="00AC37B9">
        <w:rPr>
          <w:rFonts w:ascii="Arial" w:hAnsi="Arial" w:cs="Arial"/>
          <w:iCs/>
        </w:rPr>
        <w:t xml:space="preserve"> This measure, which focuses on assessment for social drivers of health, is aligned with main objectives of the CMS Universal Foundation.</w:t>
      </w:r>
      <w:r w:rsidR="0095501D" w:rsidRPr="0095501D">
        <w:rPr>
          <w:rFonts w:ascii="Arial" w:hAnsi="Arial" w:cs="Arial"/>
          <w:iCs/>
          <w:vertAlign w:val="superscript"/>
        </w:rPr>
        <w:t>2</w:t>
      </w:r>
      <w:r w:rsidRPr="00AC37B9">
        <w:rPr>
          <w:rFonts w:ascii="Arial" w:hAnsi="Arial" w:cs="Arial"/>
          <w:iCs/>
        </w:rPr>
        <w:t xml:space="preserve"> Historical and contemporary discrimination contribute to higher levels of unmet social needs among certain social groups. Systematic assessment and follow-up for unmet social needs may help </w:t>
      </w:r>
      <w:r w:rsidR="4F342598" w:rsidRPr="61EE9819">
        <w:rPr>
          <w:rFonts w:ascii="Arial" w:hAnsi="Arial" w:cs="Arial"/>
        </w:rPr>
        <w:t>mitigate</w:t>
      </w:r>
      <w:r w:rsidRPr="00AC37B9">
        <w:rPr>
          <w:rFonts w:ascii="Arial" w:hAnsi="Arial" w:cs="Arial"/>
          <w:iCs/>
        </w:rPr>
        <w:t xml:space="preserve"> some race-based inequities that exist in material hardships.</w:t>
      </w:r>
      <w:r w:rsidR="0095501D" w:rsidRPr="0095501D">
        <w:rPr>
          <w:rFonts w:ascii="Arial" w:hAnsi="Arial" w:cs="Arial"/>
          <w:iCs/>
          <w:vertAlign w:val="superscript"/>
        </w:rPr>
        <w:t>3</w:t>
      </w:r>
      <w:r w:rsidRPr="00AC37B9">
        <w:rPr>
          <w:rFonts w:ascii="Arial" w:hAnsi="Arial" w:cs="Arial"/>
          <w:iCs/>
        </w:rPr>
        <w:t xml:space="preserve"> There exist opportunities to improve the rates of assessment for social needs. While some hospitals and outpatient facilities currently screen patients for unmet social needs, few comprehensively and universally screen for multiple unmet needs using standardized and validated tools; collect and transfer data electronically using national interoperability standards; set person-centered goals around unmet needs; and provide goal-oriented actions, such as interventions, referrals, and direct supports.</w:t>
      </w:r>
      <w:r w:rsidR="0095501D" w:rsidRPr="0095501D">
        <w:rPr>
          <w:rFonts w:ascii="Arial" w:hAnsi="Arial" w:cs="Arial"/>
          <w:iCs/>
          <w:vertAlign w:val="superscript"/>
        </w:rPr>
        <w:t>4</w:t>
      </w:r>
      <w:r w:rsidRPr="0095501D">
        <w:rPr>
          <w:rFonts w:ascii="Arial" w:hAnsi="Arial" w:cs="Arial"/>
          <w:iCs/>
          <w:vertAlign w:val="superscript"/>
        </w:rPr>
        <w:t xml:space="preserve"> </w:t>
      </w:r>
      <w:r w:rsidRPr="00AC37B9">
        <w:rPr>
          <w:rFonts w:ascii="Arial" w:hAnsi="Arial" w:cs="Arial"/>
          <w:iCs/>
        </w:rPr>
        <w:t xml:space="preserve">Measurement using standardized and validated screening instruments that are </w:t>
      </w:r>
      <w:r w:rsidRPr="00AC37B9">
        <w:rPr>
          <w:rFonts w:ascii="Arial" w:hAnsi="Arial" w:cs="Arial"/>
          <w:iCs/>
        </w:rPr>
        <w:lastRenderedPageBreak/>
        <w:t>collected and transmitted using certified electronic health records (EHRs), aims to make care coordination more effective, enable more efficient measurement, reduce administrative burden, and enhance health ecosystem efficiency.</w:t>
      </w:r>
    </w:p>
    <w:p w14:paraId="70316F3C" w14:textId="77777777" w:rsidR="00CF76B7" w:rsidRPr="003811D9" w:rsidRDefault="00CF76B7" w:rsidP="00CF76B7">
      <w:pPr>
        <w:pStyle w:val="ListParagraph"/>
        <w:ind w:left="1440"/>
        <w:rPr>
          <w:rFonts w:ascii="Arial" w:hAnsi="Arial" w:cs="Arial"/>
          <w:iCs/>
        </w:rPr>
      </w:pPr>
    </w:p>
    <w:p w14:paraId="6E32A794" w14:textId="77777777" w:rsidR="00CF76B7" w:rsidRPr="00EE47A1" w:rsidRDefault="00ED5E4C" w:rsidP="00CF76B7">
      <w:pPr>
        <w:pStyle w:val="ListParagraph"/>
        <w:numPr>
          <w:ilvl w:val="0"/>
          <w:numId w:val="3"/>
        </w:numPr>
        <w:spacing w:after="0"/>
        <w:contextualSpacing w:val="0"/>
        <w:rPr>
          <w:rFonts w:ascii="Arial" w:hAnsi="Arial" w:cs="Arial"/>
          <w:b/>
          <w:bCs/>
          <w:iCs/>
        </w:rPr>
      </w:pPr>
      <w:r w:rsidRPr="00EE47A1">
        <w:rPr>
          <w:rFonts w:ascii="Arial" w:hAnsi="Arial" w:cs="Arial"/>
          <w:b/>
          <w:bCs/>
          <w:iCs/>
        </w:rPr>
        <w:t xml:space="preserve">Environmental </w:t>
      </w:r>
      <w:r w:rsidR="00144B72" w:rsidRPr="00EE47A1">
        <w:rPr>
          <w:rFonts w:ascii="Arial" w:hAnsi="Arial" w:cs="Arial"/>
          <w:b/>
          <w:bCs/>
          <w:iCs/>
        </w:rPr>
        <w:t>s</w:t>
      </w:r>
      <w:r w:rsidRPr="00EE47A1">
        <w:rPr>
          <w:rFonts w:ascii="Arial" w:hAnsi="Arial" w:cs="Arial"/>
          <w:b/>
          <w:bCs/>
          <w:iCs/>
        </w:rPr>
        <w:t>can (Are there existing measures in this area?)</w:t>
      </w:r>
      <w:r w:rsidR="00246A65" w:rsidRPr="00EE47A1">
        <w:rPr>
          <w:rFonts w:ascii="Arial" w:hAnsi="Arial" w:cs="Arial"/>
          <w:b/>
          <w:bCs/>
          <w:iCs/>
        </w:rPr>
        <w:t xml:space="preserve">. </w:t>
      </w:r>
    </w:p>
    <w:p w14:paraId="19111AAB" w14:textId="24DA9BC6" w:rsidR="00246A65" w:rsidRPr="00880C27" w:rsidRDefault="00880C27" w:rsidP="61EE9819">
      <w:pPr>
        <w:pStyle w:val="ListParagraph"/>
        <w:ind w:left="1440"/>
        <w:rPr>
          <w:rFonts w:ascii="Arial" w:hAnsi="Arial" w:cs="Arial"/>
          <w:iCs/>
        </w:rPr>
      </w:pPr>
      <w:r w:rsidRPr="00880C27">
        <w:rPr>
          <w:rFonts w:ascii="Arial" w:hAnsi="Arial" w:cs="Arial"/>
          <w:iCs/>
        </w:rPr>
        <w:t>The primary objective is to redesign existing measure</w:t>
      </w:r>
      <w:r w:rsidR="005D51CE">
        <w:rPr>
          <w:rFonts w:ascii="Arial" w:hAnsi="Arial" w:cs="Arial"/>
          <w:iCs/>
        </w:rPr>
        <w:t>s</w:t>
      </w:r>
      <w:r w:rsidRPr="00880C27">
        <w:rPr>
          <w:rFonts w:ascii="Arial" w:hAnsi="Arial" w:cs="Arial"/>
          <w:iCs/>
        </w:rPr>
        <w:t xml:space="preserve"> </w:t>
      </w:r>
      <w:r w:rsidR="004A3C96">
        <w:rPr>
          <w:rFonts w:ascii="Arial" w:hAnsi="Arial" w:cs="Arial"/>
          <w:iCs/>
        </w:rPr>
        <w:t>to</w:t>
      </w:r>
      <w:r w:rsidR="00C43DDA">
        <w:rPr>
          <w:rFonts w:ascii="Arial" w:hAnsi="Arial" w:cs="Arial"/>
          <w:iCs/>
        </w:rPr>
        <w:t xml:space="preserve"> </w:t>
      </w:r>
      <w:r w:rsidR="0037360E">
        <w:rPr>
          <w:rFonts w:ascii="Arial" w:hAnsi="Arial" w:cs="Arial"/>
          <w:iCs/>
        </w:rPr>
        <w:t xml:space="preserve">improve and transform </w:t>
      </w:r>
      <w:r w:rsidR="3AD4B1E7" w:rsidRPr="61EE9819">
        <w:rPr>
          <w:rFonts w:ascii="Arial" w:hAnsi="Arial" w:cs="Arial"/>
        </w:rPr>
        <w:t xml:space="preserve">them </w:t>
      </w:r>
      <w:r w:rsidR="00625EC5">
        <w:rPr>
          <w:rFonts w:ascii="Arial" w:hAnsi="Arial" w:cs="Arial"/>
          <w:iCs/>
        </w:rPr>
        <w:t xml:space="preserve">into a fully digital </w:t>
      </w:r>
      <w:r w:rsidRPr="00880C27">
        <w:rPr>
          <w:rFonts w:ascii="Arial" w:hAnsi="Arial" w:cs="Arial"/>
          <w:iCs/>
        </w:rPr>
        <w:t>electronic clinical quality measure (eCQM)</w:t>
      </w:r>
      <w:r w:rsidR="006B42E6">
        <w:rPr>
          <w:rFonts w:ascii="Arial" w:hAnsi="Arial" w:cs="Arial"/>
          <w:iCs/>
        </w:rPr>
        <w:t>, incorporating all payer data</w:t>
      </w:r>
      <w:r w:rsidRPr="00880C27">
        <w:rPr>
          <w:rFonts w:ascii="Arial" w:hAnsi="Arial" w:cs="Arial"/>
          <w:iCs/>
        </w:rPr>
        <w:t>. The redesigned Addressing Social Needs (ASN) eCQM will evaluate how hospitals respond to social needs that affect health</w:t>
      </w:r>
      <w:r w:rsidR="00031B57">
        <w:rPr>
          <w:rFonts w:ascii="Arial" w:hAnsi="Arial" w:cs="Arial"/>
          <w:iCs/>
        </w:rPr>
        <w:t xml:space="preserve"> by calculating p</w:t>
      </w:r>
      <w:r w:rsidR="00031B57" w:rsidRPr="00031B57">
        <w:rPr>
          <w:rFonts w:ascii="Arial" w:hAnsi="Arial" w:cs="Arial"/>
          <w:iCs/>
        </w:rPr>
        <w:t>ercentages of patients with a qualifying evaluation and management outpatient visit during the performance period of all ages reflecting whether patients were assessed in four domains of social need: food, housing, transportation, and utilities, and whether the patient received a qualifying follow-up action within the visit for any positive social needs.</w:t>
      </w:r>
    </w:p>
    <w:p w14:paraId="3ADF2ED9" w14:textId="77777777" w:rsidR="00ED5E4C" w:rsidRPr="00DD5758" w:rsidRDefault="00ED5E4C" w:rsidP="00ED5E4C">
      <w:pPr>
        <w:pStyle w:val="ListParagraph"/>
        <w:numPr>
          <w:ilvl w:val="0"/>
          <w:numId w:val="1"/>
        </w:numPr>
        <w:rPr>
          <w:rFonts w:ascii="Arial" w:hAnsi="Arial" w:cs="Arial"/>
          <w:b/>
        </w:rPr>
      </w:pPr>
      <w:r w:rsidRPr="00DD5758">
        <w:rPr>
          <w:rFonts w:ascii="Arial" w:hAnsi="Arial" w:cs="Arial"/>
          <w:b/>
        </w:rPr>
        <w:t>Gap Analysis</w:t>
      </w:r>
    </w:p>
    <w:p w14:paraId="15FBFF3A" w14:textId="77777777" w:rsidR="00E45770" w:rsidRPr="00EE47A1" w:rsidRDefault="00ED5E4C" w:rsidP="00E45770">
      <w:pPr>
        <w:pStyle w:val="ListParagraph"/>
        <w:numPr>
          <w:ilvl w:val="0"/>
          <w:numId w:val="2"/>
        </w:numPr>
        <w:rPr>
          <w:rFonts w:ascii="Arial" w:hAnsi="Arial" w:cs="Arial"/>
          <w:b/>
          <w:bCs/>
          <w:iCs/>
        </w:rPr>
      </w:pPr>
      <w:r w:rsidRPr="00EE47A1">
        <w:rPr>
          <w:rFonts w:ascii="Arial" w:hAnsi="Arial" w:cs="Arial"/>
          <w:b/>
          <w:bCs/>
          <w:iCs/>
        </w:rPr>
        <w:t xml:space="preserve">Provide </w:t>
      </w:r>
      <w:r w:rsidR="00144B72" w:rsidRPr="00EE47A1">
        <w:rPr>
          <w:rFonts w:ascii="Arial" w:hAnsi="Arial" w:cs="Arial"/>
          <w:b/>
          <w:bCs/>
          <w:iCs/>
        </w:rPr>
        <w:t>e</w:t>
      </w:r>
      <w:r w:rsidRPr="00EE47A1">
        <w:rPr>
          <w:rFonts w:ascii="Arial" w:hAnsi="Arial" w:cs="Arial"/>
          <w:b/>
          <w:bCs/>
          <w:iCs/>
        </w:rPr>
        <w:t xml:space="preserve">vidence for the </w:t>
      </w:r>
      <w:r w:rsidR="00144B72" w:rsidRPr="00EE47A1">
        <w:rPr>
          <w:rFonts w:ascii="Arial" w:hAnsi="Arial" w:cs="Arial"/>
          <w:b/>
          <w:bCs/>
          <w:iCs/>
        </w:rPr>
        <w:t>m</w:t>
      </w:r>
      <w:r w:rsidRPr="00EE47A1">
        <w:rPr>
          <w:rFonts w:ascii="Arial" w:hAnsi="Arial" w:cs="Arial"/>
          <w:b/>
          <w:bCs/>
          <w:iCs/>
        </w:rPr>
        <w:t>easure (What are the gaps and opportunities to improve care?)</w:t>
      </w:r>
      <w:r w:rsidR="00144B72" w:rsidRPr="00EE47A1">
        <w:rPr>
          <w:rFonts w:ascii="Arial" w:hAnsi="Arial" w:cs="Arial"/>
          <w:b/>
          <w:bCs/>
          <w:iCs/>
        </w:rPr>
        <w:t>.</w:t>
      </w:r>
    </w:p>
    <w:p w14:paraId="3383FA1E" w14:textId="7710B5D7" w:rsidR="00E45770" w:rsidRPr="00E36056" w:rsidRDefault="00E45770" w:rsidP="00561E76">
      <w:pPr>
        <w:pStyle w:val="ListParagraph"/>
        <w:ind w:left="1440"/>
        <w:rPr>
          <w:rFonts w:ascii="Arial" w:hAnsi="Arial" w:cs="Arial"/>
          <w:iCs/>
        </w:rPr>
      </w:pPr>
      <w:r w:rsidRPr="00E36056">
        <w:rPr>
          <w:rFonts w:ascii="Arial" w:hAnsi="Arial" w:cs="Arial"/>
        </w:rPr>
        <w:t>Unmet social needs are common among Medicare patients. Over 35 percent of patients screened as part of the CMS Accountable Health Communities program reported at least one unmet social need and were eligible for a referral to community services</w:t>
      </w:r>
      <w:r w:rsidR="00561E76" w:rsidRPr="00E36056">
        <w:rPr>
          <w:rFonts w:ascii="Arial" w:hAnsi="Arial" w:cs="Arial"/>
        </w:rPr>
        <w:t>.</w:t>
      </w:r>
      <w:r w:rsidR="008A0240" w:rsidRPr="008A0240">
        <w:rPr>
          <w:rFonts w:ascii="Arial" w:hAnsi="Arial" w:cs="Arial"/>
          <w:vertAlign w:val="superscript"/>
        </w:rPr>
        <w:t>5</w:t>
      </w:r>
      <w:r w:rsidRPr="00E36056">
        <w:rPr>
          <w:rFonts w:ascii="Arial" w:hAnsi="Arial" w:cs="Arial"/>
        </w:rPr>
        <w:t xml:space="preserve"> In recent years there has been growing awareness among policymakers, health plans, providers, and hospitals about the importance of screening for unmet social needs. While screening for unmet social needs is underway in many settings, evidence suggests opportunities for systematic improvements. In 2022, a study reported majority of hospitals (83%) collect social risk data and half (54%) indicate routine collection of social determinants of health (SDOH) data. Routine collection of social risk data varies by hospital characteristics (i.e. urban versus rural, critical access versus non).</w:t>
      </w:r>
      <w:r w:rsidR="00474A51" w:rsidRPr="00474A51">
        <w:rPr>
          <w:rFonts w:ascii="Arial" w:hAnsi="Arial" w:cs="Arial"/>
          <w:vertAlign w:val="superscript"/>
        </w:rPr>
        <w:t>6</w:t>
      </w:r>
      <w:r w:rsidRPr="00E36056">
        <w:rPr>
          <w:rFonts w:ascii="Arial" w:hAnsi="Arial" w:cs="Arial"/>
        </w:rPr>
        <w:t xml:space="preserve"> A 2019 study published in JAMA Network Open examined the prevalence of screening for food insecurity, housing instability, utility needs, transportation needs, and interpersonal violence by US physician practices and hospitals, and found that only 25% of hospitals and 16% of physician practices reported screening for all social domains identified in the study.</w:t>
      </w:r>
      <w:r w:rsidR="008028A6" w:rsidRPr="008028A6">
        <w:rPr>
          <w:rFonts w:ascii="Arial" w:hAnsi="Arial" w:cs="Arial"/>
          <w:vertAlign w:val="superscript"/>
        </w:rPr>
        <w:t>4</w:t>
      </w:r>
      <w:r w:rsidRPr="00E36056">
        <w:rPr>
          <w:rFonts w:ascii="Arial" w:hAnsi="Arial" w:cs="Arial"/>
        </w:rPr>
        <w:t xml:space="preserve">  Screening varied significantly based on social risk. Hospital screening for transportation insecurity is the most prevalent (74% for hospitals), while screening for utility needs is the least prevalent (36% for hospitals). Preliminary data on screening in health plan settings released by the National Committee for Quality Assurance (NCQA) found overall low rates of screening with performance rates being highest for food (12.6%), followed by transportation (3.5%) and then housing (3.3%). The majority, but not all, of those with a positive screen requested and received an intervention, with highest rates for food (75.1%) followed by transportation (68.5%) and housing (24.3%).</w:t>
      </w:r>
      <w:r w:rsidR="003E4A57" w:rsidRPr="00D01006">
        <w:rPr>
          <w:rFonts w:ascii="Arial" w:hAnsi="Arial" w:cs="Arial"/>
          <w:vertAlign w:val="superscript"/>
        </w:rPr>
        <w:t>7</w:t>
      </w:r>
      <w:r w:rsidRPr="00D01006">
        <w:rPr>
          <w:rFonts w:ascii="Arial" w:hAnsi="Arial" w:cs="Arial"/>
          <w:vertAlign w:val="superscript"/>
        </w:rPr>
        <w:t xml:space="preserve"> </w:t>
      </w:r>
      <w:r w:rsidRPr="00E36056">
        <w:rPr>
          <w:rFonts w:ascii="Arial" w:hAnsi="Arial" w:cs="Arial"/>
        </w:rPr>
        <w:t>Less information is available specifically for the Medicare population. Over 35% of patients screened as part of the CMS Accountable Health Communities program reported at least one unmet social need and were eligible for a referral to community services.</w:t>
      </w:r>
      <w:r w:rsidR="00F100F9" w:rsidRPr="00F100F9">
        <w:rPr>
          <w:rFonts w:ascii="Arial" w:hAnsi="Arial" w:cs="Arial"/>
          <w:vertAlign w:val="superscript"/>
        </w:rPr>
        <w:t>8</w:t>
      </w:r>
      <w:r w:rsidR="00B36EC1">
        <w:rPr>
          <w:rFonts w:ascii="Arial" w:hAnsi="Arial" w:cs="Arial"/>
        </w:rPr>
        <w:t xml:space="preserve"> </w:t>
      </w:r>
    </w:p>
    <w:p w14:paraId="736B0A95" w14:textId="77777777" w:rsidR="0022259E" w:rsidRPr="00E36056" w:rsidRDefault="0022259E" w:rsidP="0022259E">
      <w:pPr>
        <w:pStyle w:val="ListParagraph"/>
        <w:ind w:left="1440"/>
        <w:rPr>
          <w:rFonts w:ascii="Arial" w:hAnsi="Arial" w:cs="Arial"/>
        </w:rPr>
      </w:pPr>
    </w:p>
    <w:p w14:paraId="5C597078" w14:textId="119F2A38" w:rsidR="00372F00" w:rsidRPr="00E36056" w:rsidRDefault="004C6569" w:rsidP="007F22A1">
      <w:pPr>
        <w:pStyle w:val="ListParagraph"/>
        <w:ind w:left="1440"/>
        <w:rPr>
          <w:rFonts w:ascii="Arial" w:hAnsi="Arial" w:cs="Arial"/>
          <w:b/>
          <w:bCs/>
          <w:lang w:eastAsia="ja-JP"/>
        </w:rPr>
      </w:pPr>
      <w:r>
        <w:rPr>
          <w:rFonts w:ascii="Arial" w:hAnsi="Arial" w:cs="Arial"/>
        </w:rPr>
        <w:t xml:space="preserve">There is </w:t>
      </w:r>
      <w:proofErr w:type="gramStart"/>
      <w:r>
        <w:rPr>
          <w:rFonts w:ascii="Arial" w:hAnsi="Arial" w:cs="Arial"/>
        </w:rPr>
        <w:t>paucity</w:t>
      </w:r>
      <w:proofErr w:type="gramEnd"/>
      <w:r>
        <w:rPr>
          <w:rFonts w:ascii="Arial" w:hAnsi="Arial" w:cs="Arial"/>
        </w:rPr>
        <w:t xml:space="preserve"> of information</w:t>
      </w:r>
      <w:r w:rsidR="00E45770" w:rsidRPr="00E36056">
        <w:rPr>
          <w:rFonts w:ascii="Arial" w:hAnsi="Arial" w:cs="Arial"/>
        </w:rPr>
        <w:t xml:space="preserve"> regarding potential disparities in screening or intervention rates. A study examining prevalence of social risk at six- and </w:t>
      </w:r>
      <w:r w:rsidR="00561E76" w:rsidRPr="00E36056">
        <w:rPr>
          <w:rFonts w:ascii="Arial" w:hAnsi="Arial" w:cs="Arial"/>
        </w:rPr>
        <w:t>12-month</w:t>
      </w:r>
      <w:r w:rsidR="00E45770" w:rsidRPr="00E36056">
        <w:rPr>
          <w:rFonts w:ascii="Arial" w:hAnsi="Arial" w:cs="Arial"/>
        </w:rPr>
        <w:t xml:space="preserve"> look-back periods did not find significant differences between timepoints, suggesting annual assessments are reliable. Yearly assessments for social needs in outpatient settings may reduce patient survey fatigue and system burden.</w:t>
      </w:r>
      <w:r w:rsidR="009837A7" w:rsidRPr="009837A7">
        <w:rPr>
          <w:rFonts w:ascii="Arial" w:hAnsi="Arial" w:cs="Arial"/>
          <w:vertAlign w:val="superscript"/>
        </w:rPr>
        <w:t>9</w:t>
      </w:r>
      <w:r w:rsidR="00E45770" w:rsidRPr="00E36056">
        <w:rPr>
          <w:rFonts w:ascii="Arial" w:hAnsi="Arial" w:cs="Arial"/>
        </w:rPr>
        <w:t xml:space="preserve"> Some evidence suggests the need for greater screening in lower income settings. For example, one study reported social needs screening rates were higher among disproportionate share hospitals.</w:t>
      </w:r>
      <w:r w:rsidR="00ED13E7" w:rsidRPr="00ED13E7">
        <w:rPr>
          <w:rFonts w:ascii="Arial" w:hAnsi="Arial" w:cs="Arial"/>
          <w:vertAlign w:val="superscript"/>
        </w:rPr>
        <w:t>10</w:t>
      </w:r>
      <w:r w:rsidR="00E45770" w:rsidRPr="00E36056">
        <w:rPr>
          <w:rFonts w:ascii="Arial" w:hAnsi="Arial" w:cs="Arial"/>
        </w:rPr>
        <w:t xml:space="preserve"> There is also evidence that suggests access to support services, such as community-based interventions, may be less available in high need communities, raising concern about potential disparities.</w:t>
      </w:r>
      <w:r w:rsidR="002214D3" w:rsidRPr="002214D3">
        <w:rPr>
          <w:rFonts w:ascii="Arial" w:hAnsi="Arial" w:cs="Arial"/>
          <w:vertAlign w:val="superscript"/>
        </w:rPr>
        <w:t>11</w:t>
      </w:r>
      <w:r w:rsidR="00E45770" w:rsidRPr="00E36056">
        <w:rPr>
          <w:rFonts w:ascii="Arial" w:hAnsi="Arial" w:cs="Arial"/>
        </w:rPr>
        <w:t xml:space="preserve">  From a</w:t>
      </w:r>
      <w:r w:rsidR="00C459EF">
        <w:rPr>
          <w:rFonts w:ascii="Arial" w:hAnsi="Arial" w:cs="Arial"/>
        </w:rPr>
        <w:t xml:space="preserve">n </w:t>
      </w:r>
      <w:r w:rsidR="00BD0018">
        <w:rPr>
          <w:rFonts w:ascii="Arial" w:hAnsi="Arial" w:cs="Arial"/>
        </w:rPr>
        <w:t>operational</w:t>
      </w:r>
      <w:r w:rsidR="00E45770" w:rsidRPr="00E36056">
        <w:rPr>
          <w:rFonts w:ascii="Arial" w:hAnsi="Arial" w:cs="Arial"/>
        </w:rPr>
        <w:t xml:space="preserve"> perspective, there are also concerns about resource requirements associated with this measure for hospitals; for example, hospitals with high social needs population </w:t>
      </w:r>
      <w:r w:rsidR="00BD0018">
        <w:rPr>
          <w:rFonts w:ascii="Arial" w:hAnsi="Arial" w:cs="Arial"/>
        </w:rPr>
        <w:t>will</w:t>
      </w:r>
      <w:r w:rsidR="00BD0018" w:rsidRPr="00E36056">
        <w:rPr>
          <w:rFonts w:ascii="Arial" w:hAnsi="Arial" w:cs="Arial"/>
        </w:rPr>
        <w:t xml:space="preserve"> </w:t>
      </w:r>
      <w:r w:rsidR="00E45770" w:rsidRPr="00E36056">
        <w:rPr>
          <w:rFonts w:ascii="Arial" w:hAnsi="Arial" w:cs="Arial"/>
        </w:rPr>
        <w:t xml:space="preserve">require much more intervention than hospitals with low social needs. There may be a need to mitigate by </w:t>
      </w:r>
      <w:r w:rsidR="00E45770" w:rsidRPr="00E36056">
        <w:rPr>
          <w:rFonts w:ascii="Arial" w:hAnsi="Arial" w:cs="Arial"/>
        </w:rPr>
        <w:lastRenderedPageBreak/>
        <w:t>developing a measure scoring system that considers the differences in social needs across populations. While health systems increasingly collect SDOH data, integration into the EHR remains a challenge. This is likely due to standardized SDOH LOINC (screening</w:t>
      </w:r>
      <w:proofErr w:type="gramStart"/>
      <w:r w:rsidR="00E45770" w:rsidRPr="00E36056">
        <w:rPr>
          <w:rFonts w:ascii="Arial" w:hAnsi="Arial" w:cs="Arial"/>
        </w:rPr>
        <w:t>)</w:t>
      </w:r>
      <w:proofErr w:type="gramEnd"/>
      <w:r w:rsidR="00E45770" w:rsidRPr="00E36056">
        <w:rPr>
          <w:rFonts w:ascii="Arial" w:hAnsi="Arial" w:cs="Arial"/>
        </w:rPr>
        <w:t xml:space="preserve"> and SNOMED CT (intervention) codes not being fully implemented in most facilities. A study found 80% of respondents used a standardized coding system (i.e. ICD-10-CM diagnosis codes, CPT codes, SNOMED-CT, or LOINC), to code SDOH data elements, yet a gap remains for accurate and consistent application of these codes to capture of SDOH data</w:t>
      </w:r>
      <w:r w:rsidR="0069658D">
        <w:rPr>
          <w:rFonts w:ascii="Arial" w:hAnsi="Arial" w:cs="Arial"/>
        </w:rPr>
        <w:t>.</w:t>
      </w:r>
      <w:r w:rsidR="00F90BBA" w:rsidRPr="00F90BBA">
        <w:rPr>
          <w:rFonts w:ascii="Arial" w:hAnsi="Arial" w:cs="Arial"/>
          <w:vertAlign w:val="superscript"/>
        </w:rPr>
        <w:t>12</w:t>
      </w:r>
      <w:r w:rsidR="00E45770" w:rsidRPr="00E36056">
        <w:rPr>
          <w:rFonts w:ascii="Arial" w:hAnsi="Arial" w:cs="Arial"/>
        </w:rPr>
        <w:t xml:space="preserve"> Environmental scan of the literature reveals increasing documentation of social needs assessments but follow up actions are less commonly found in a standardized format within EHRs</w:t>
      </w:r>
      <w:r w:rsidR="00F90BBA">
        <w:rPr>
          <w:rFonts w:ascii="Arial" w:hAnsi="Arial" w:cs="Arial"/>
          <w:b/>
          <w:bCs/>
          <w:lang w:eastAsia="ja-JP"/>
        </w:rPr>
        <w:t>.</w:t>
      </w:r>
      <w:r w:rsidR="00083423">
        <w:rPr>
          <w:rFonts w:ascii="Arial" w:hAnsi="Arial" w:cs="Arial"/>
          <w:vertAlign w:val="superscript"/>
          <w:lang w:eastAsia="ja-JP"/>
        </w:rPr>
        <w:t>10</w:t>
      </w:r>
      <w:r w:rsidR="00F90BBA" w:rsidRPr="00083423">
        <w:rPr>
          <w:rFonts w:ascii="Arial" w:hAnsi="Arial" w:cs="Arial"/>
          <w:vertAlign w:val="superscript"/>
          <w:lang w:eastAsia="ja-JP"/>
        </w:rPr>
        <w:t>-</w:t>
      </w:r>
      <w:r w:rsidR="00083423" w:rsidRPr="00083423">
        <w:rPr>
          <w:rFonts w:ascii="Arial" w:hAnsi="Arial" w:cs="Arial"/>
          <w:vertAlign w:val="superscript"/>
          <w:lang w:eastAsia="ja-JP"/>
        </w:rPr>
        <w:t>12</w:t>
      </w:r>
    </w:p>
    <w:p w14:paraId="63485151" w14:textId="77777777" w:rsidR="007F22A1" w:rsidRPr="007F22A1" w:rsidRDefault="007F22A1" w:rsidP="007F22A1">
      <w:pPr>
        <w:pStyle w:val="ListParagraph"/>
        <w:ind w:left="1440"/>
        <w:rPr>
          <w:rFonts w:cstheme="minorHAnsi"/>
        </w:rPr>
      </w:pPr>
    </w:p>
    <w:p w14:paraId="67B23BAE" w14:textId="77777777" w:rsidR="00372F00" w:rsidRPr="00D01006" w:rsidRDefault="00ED5E4C" w:rsidP="00372F00">
      <w:pPr>
        <w:pStyle w:val="ListParagraph"/>
        <w:numPr>
          <w:ilvl w:val="0"/>
          <w:numId w:val="2"/>
        </w:numPr>
        <w:rPr>
          <w:rFonts w:ascii="Arial" w:hAnsi="Arial" w:cs="Arial"/>
          <w:b/>
          <w:bCs/>
          <w:iCs/>
        </w:rPr>
      </w:pPr>
      <w:r w:rsidRPr="00D01006">
        <w:rPr>
          <w:rFonts w:ascii="Arial" w:hAnsi="Arial" w:cs="Arial"/>
          <w:b/>
          <w:bCs/>
          <w:iCs/>
        </w:rPr>
        <w:t xml:space="preserve">Expected </w:t>
      </w:r>
      <w:r w:rsidR="00144B72" w:rsidRPr="00D01006">
        <w:rPr>
          <w:rFonts w:ascii="Arial" w:hAnsi="Arial" w:cs="Arial"/>
          <w:b/>
          <w:bCs/>
          <w:iCs/>
        </w:rPr>
        <w:t>o</w:t>
      </w:r>
      <w:r w:rsidRPr="00D01006">
        <w:rPr>
          <w:rFonts w:ascii="Arial" w:hAnsi="Arial" w:cs="Arial"/>
          <w:b/>
          <w:bCs/>
          <w:iCs/>
        </w:rPr>
        <w:t>utcome (</w:t>
      </w:r>
      <w:r w:rsidR="00144B72" w:rsidRPr="00D01006">
        <w:rPr>
          <w:rFonts w:ascii="Arial" w:hAnsi="Arial" w:cs="Arial"/>
          <w:b/>
          <w:bCs/>
          <w:iCs/>
        </w:rPr>
        <w:t>p</w:t>
      </w:r>
      <w:r w:rsidRPr="00D01006">
        <w:rPr>
          <w:rFonts w:ascii="Arial" w:hAnsi="Arial" w:cs="Arial"/>
          <w:b/>
          <w:bCs/>
          <w:iCs/>
        </w:rPr>
        <w:t>atient care/patient health improvements, cost savings)</w:t>
      </w:r>
      <w:r w:rsidR="00144B72" w:rsidRPr="00D01006">
        <w:rPr>
          <w:rFonts w:ascii="Arial" w:hAnsi="Arial" w:cs="Arial"/>
          <w:b/>
          <w:bCs/>
          <w:iCs/>
        </w:rPr>
        <w:t>.</w:t>
      </w:r>
    </w:p>
    <w:p w14:paraId="4CBE5637" w14:textId="0692A947" w:rsidR="00136DF0" w:rsidRPr="00E36056" w:rsidRDefault="00372F00" w:rsidP="00372F00">
      <w:pPr>
        <w:pStyle w:val="ListParagraph"/>
        <w:ind w:left="1440"/>
        <w:rPr>
          <w:rFonts w:ascii="Arial" w:hAnsi="Arial" w:cs="Arial"/>
          <w:lang w:eastAsia="ja-JP"/>
        </w:rPr>
      </w:pPr>
      <w:r w:rsidRPr="00E36056">
        <w:rPr>
          <w:rFonts w:ascii="Arial" w:hAnsi="Arial" w:cs="Arial"/>
          <w:lang w:eastAsia="ja-JP"/>
        </w:rPr>
        <w:t>The 2019 National Academies of Science, Engineering and Medicine (NASEM) Report Integrating Social Care into the Delivery of Health Care identified better awareness for the unmet social needs of defined patients and populations an important strategy for improving health and social outcomes.</w:t>
      </w:r>
      <w:r w:rsidR="00A0219E" w:rsidRPr="00A0219E">
        <w:rPr>
          <w:rFonts w:ascii="Arial" w:hAnsi="Arial" w:cs="Arial"/>
          <w:vertAlign w:val="superscript"/>
          <w:lang w:eastAsia="ja-JP"/>
        </w:rPr>
        <w:t>13</w:t>
      </w:r>
      <w:r w:rsidR="007F22A1" w:rsidRPr="00E36056">
        <w:rPr>
          <w:rFonts w:ascii="Arial" w:hAnsi="Arial" w:cs="Arial"/>
        </w:rPr>
        <w:t xml:space="preserve"> While the growing literature base suggests positive impacts of social care interventions, conclusive evidence on effectiveness of social interventions to improve health and moderate costs remains limited across many domains.</w:t>
      </w:r>
      <w:r w:rsidR="00A0219E" w:rsidRPr="00A0219E">
        <w:rPr>
          <w:rStyle w:val="EndnoteReference"/>
          <w:rFonts w:ascii="Arial" w:hAnsi="Arial" w:cs="Arial"/>
        </w:rPr>
        <w:t>1</w:t>
      </w:r>
      <w:r w:rsidR="00A0219E" w:rsidRPr="00A0219E">
        <w:rPr>
          <w:rFonts w:ascii="Arial" w:hAnsi="Arial" w:cs="Arial"/>
          <w:vertAlign w:val="superscript"/>
        </w:rPr>
        <w:t>4-15</w:t>
      </w:r>
      <w:r w:rsidR="007A1E3B">
        <w:rPr>
          <w:rFonts w:ascii="Arial" w:hAnsi="Arial" w:cs="Arial"/>
        </w:rPr>
        <w:t xml:space="preserve"> </w:t>
      </w:r>
      <w:r w:rsidR="007F22A1" w:rsidRPr="00E36056">
        <w:rPr>
          <w:rFonts w:ascii="Arial" w:hAnsi="Arial" w:cs="Arial"/>
        </w:rPr>
        <w:t>Thus, while it is likely there will be some immediate opportunities to reduce material hardship (i.e., moderate the symptoms of food insecurity) and potentially improve chronic disease outcomes, at this stage it is challenging to draw general conclusions around the potential efficacy of such interventions on population health and cost outcomes.</w:t>
      </w:r>
      <w:r w:rsidR="00E810C8" w:rsidRPr="00A0219E">
        <w:rPr>
          <w:rFonts w:ascii="Arial" w:hAnsi="Arial" w:cs="Arial"/>
          <w:vertAlign w:val="superscript"/>
        </w:rPr>
        <w:t>1</w:t>
      </w:r>
      <w:r w:rsidR="00A0219E" w:rsidRPr="00A0219E">
        <w:rPr>
          <w:rFonts w:ascii="Arial" w:hAnsi="Arial" w:cs="Arial"/>
          <w:vertAlign w:val="superscript"/>
        </w:rPr>
        <w:t>6</w:t>
      </w:r>
      <w:r w:rsidR="007F22A1" w:rsidRPr="00E36056">
        <w:rPr>
          <w:rFonts w:ascii="Arial" w:hAnsi="Arial" w:cs="Arial"/>
          <w:b/>
          <w:lang w:eastAsia="ja-JP"/>
        </w:rPr>
        <w:t xml:space="preserve"> </w:t>
      </w:r>
    </w:p>
    <w:p w14:paraId="603C8C5E" w14:textId="77777777" w:rsidR="00372F00" w:rsidRPr="00372F00" w:rsidRDefault="00372F00" w:rsidP="00372F00">
      <w:pPr>
        <w:pStyle w:val="ListParagraph"/>
        <w:ind w:left="1440"/>
        <w:rPr>
          <w:rFonts w:ascii="Arial" w:hAnsi="Arial" w:cs="Arial"/>
          <w:iCs/>
        </w:rPr>
      </w:pPr>
    </w:p>
    <w:p w14:paraId="7E6B6482" w14:textId="2FCDD026" w:rsidR="00ED5E4C" w:rsidRPr="002214D3" w:rsidRDefault="00ED5E4C" w:rsidP="004F0734">
      <w:pPr>
        <w:pStyle w:val="ListParagraph"/>
        <w:numPr>
          <w:ilvl w:val="0"/>
          <w:numId w:val="2"/>
        </w:numPr>
        <w:spacing w:after="0"/>
        <w:contextualSpacing w:val="0"/>
        <w:rPr>
          <w:rFonts w:ascii="Arial" w:hAnsi="Arial" w:cs="Arial"/>
          <w:b/>
          <w:bCs/>
          <w:iCs/>
        </w:rPr>
      </w:pPr>
      <w:r w:rsidRPr="002214D3">
        <w:rPr>
          <w:rFonts w:ascii="Arial" w:hAnsi="Arial" w:cs="Arial"/>
          <w:b/>
          <w:bCs/>
          <w:iCs/>
        </w:rPr>
        <w:t xml:space="preserve">Recommendation for the </w:t>
      </w:r>
      <w:r w:rsidR="00144B72" w:rsidRPr="002214D3">
        <w:rPr>
          <w:rFonts w:ascii="Arial" w:hAnsi="Arial" w:cs="Arial"/>
          <w:b/>
          <w:bCs/>
          <w:iCs/>
        </w:rPr>
        <w:t>m</w:t>
      </w:r>
      <w:r w:rsidRPr="002214D3">
        <w:rPr>
          <w:rFonts w:ascii="Arial" w:hAnsi="Arial" w:cs="Arial"/>
          <w:b/>
          <w:bCs/>
          <w:iCs/>
        </w:rPr>
        <w:t>easure (Is it based on a study, consensus opinion, USPSTF recommendation etc.?)</w:t>
      </w:r>
      <w:r w:rsidR="00144B72" w:rsidRPr="002214D3">
        <w:rPr>
          <w:rFonts w:ascii="Arial" w:hAnsi="Arial" w:cs="Arial"/>
          <w:b/>
          <w:bCs/>
          <w:iCs/>
        </w:rPr>
        <w:t>.</w:t>
      </w:r>
    </w:p>
    <w:p w14:paraId="7081C6AE" w14:textId="1D9D8CF4" w:rsidR="004220CA" w:rsidRPr="004220CA" w:rsidRDefault="004220CA" w:rsidP="004220CA">
      <w:pPr>
        <w:pStyle w:val="ListParagraph"/>
        <w:ind w:left="1440"/>
        <w:rPr>
          <w:rFonts w:ascii="Arial" w:hAnsi="Arial" w:cs="Arial"/>
          <w:iCs/>
        </w:rPr>
      </w:pPr>
      <w:r w:rsidRPr="004220CA">
        <w:rPr>
          <w:rFonts w:ascii="Arial" w:hAnsi="Arial" w:cs="Arial"/>
          <w:iCs/>
        </w:rPr>
        <w:t>Driven by the extensive evidence on the role of SDOH on health outcomes and health equity, identifying and addressing social needs is a national clinical priority. This is evidenced by the guidelines of multiple US professional organizations. Both the American Academy of Family Physicians and American Academy of Pediatrics detail professional requirements to address SDOH in policy and practice statements. Both professional orgs specific a requirement to address SDOH directly for patients and through broader social policy toward the goal of health equity.</w:t>
      </w:r>
      <w:r w:rsidR="00735633" w:rsidRPr="00735633">
        <w:rPr>
          <w:rFonts w:ascii="Arial" w:hAnsi="Arial" w:cs="Arial"/>
          <w:iCs/>
          <w:vertAlign w:val="superscript"/>
        </w:rPr>
        <w:t>17-19</w:t>
      </w:r>
      <w:r w:rsidRPr="004220CA">
        <w:rPr>
          <w:rFonts w:ascii="Arial" w:hAnsi="Arial" w:cs="Arial"/>
          <w:iCs/>
        </w:rPr>
        <w:t xml:space="preserve"> </w:t>
      </w:r>
    </w:p>
    <w:p w14:paraId="060BE5A0" w14:textId="77777777" w:rsidR="004220CA" w:rsidRDefault="004220CA" w:rsidP="004220CA">
      <w:pPr>
        <w:pStyle w:val="ListParagraph"/>
        <w:ind w:left="1440"/>
        <w:rPr>
          <w:rFonts w:ascii="Arial" w:hAnsi="Arial" w:cs="Arial"/>
          <w:iCs/>
        </w:rPr>
      </w:pPr>
    </w:p>
    <w:p w14:paraId="3DAFE53E" w14:textId="22D5833F" w:rsidR="004220CA" w:rsidRPr="004220CA" w:rsidRDefault="004220CA" w:rsidP="004220CA">
      <w:pPr>
        <w:pStyle w:val="ListParagraph"/>
        <w:ind w:left="1440"/>
        <w:rPr>
          <w:rFonts w:ascii="Arial" w:hAnsi="Arial" w:cs="Arial"/>
          <w:iCs/>
        </w:rPr>
      </w:pPr>
      <w:r w:rsidRPr="004220CA">
        <w:rPr>
          <w:rFonts w:ascii="Arial" w:hAnsi="Arial" w:cs="Arial"/>
          <w:iCs/>
        </w:rPr>
        <w:t>The American College of Obstetricians and Gynecologists detail a need to address SDOH to improve patient centeredness and assist the goal of reducing inequities in reproductive health care.</w:t>
      </w:r>
      <w:r w:rsidR="00166C9F" w:rsidRPr="00166C9F">
        <w:rPr>
          <w:rFonts w:ascii="Arial" w:hAnsi="Arial" w:cs="Arial"/>
          <w:iCs/>
          <w:vertAlign w:val="superscript"/>
        </w:rPr>
        <w:t>20</w:t>
      </w:r>
    </w:p>
    <w:p w14:paraId="32A29C4C" w14:textId="77777777" w:rsidR="004220CA" w:rsidRDefault="004220CA" w:rsidP="004220CA">
      <w:pPr>
        <w:pStyle w:val="ListParagraph"/>
        <w:ind w:left="1440"/>
        <w:rPr>
          <w:rFonts w:ascii="Arial" w:hAnsi="Arial" w:cs="Arial"/>
          <w:iCs/>
        </w:rPr>
      </w:pPr>
    </w:p>
    <w:p w14:paraId="1D5728AE" w14:textId="3CDA7A9F" w:rsidR="00721EAB" w:rsidRDefault="004220CA" w:rsidP="000F6BE9">
      <w:pPr>
        <w:pStyle w:val="ListParagraph"/>
        <w:ind w:left="1440"/>
        <w:rPr>
          <w:rFonts w:ascii="Arial" w:hAnsi="Arial" w:cs="Arial"/>
          <w:iCs/>
        </w:rPr>
      </w:pPr>
      <w:r w:rsidRPr="004220CA">
        <w:rPr>
          <w:rFonts w:ascii="Arial" w:hAnsi="Arial" w:cs="Arial"/>
          <w:iCs/>
        </w:rPr>
        <w:t>The American Diabetes Association included the importance of addressing SDOH in its updated Standards of Care for Diabetes.</w:t>
      </w:r>
      <w:r w:rsidR="00166C9F">
        <w:rPr>
          <w:rFonts w:ascii="Arial" w:hAnsi="Arial" w:cs="Arial"/>
          <w:iCs/>
          <w:vertAlign w:val="superscript"/>
        </w:rPr>
        <w:t>21</w:t>
      </w:r>
    </w:p>
    <w:p w14:paraId="0D4C12E6" w14:textId="77777777" w:rsidR="000F6BE9" w:rsidRPr="000F6BE9" w:rsidRDefault="000F6BE9" w:rsidP="000F6BE9">
      <w:pPr>
        <w:pStyle w:val="ListParagraph"/>
        <w:ind w:left="1440"/>
        <w:rPr>
          <w:rFonts w:ascii="Arial" w:hAnsi="Arial" w:cs="Arial"/>
          <w:iCs/>
        </w:rPr>
      </w:pPr>
    </w:p>
    <w:p w14:paraId="0C69A068" w14:textId="2B7826A9" w:rsidR="00F91557" w:rsidRDefault="004220CA" w:rsidP="004220CA">
      <w:pPr>
        <w:pStyle w:val="ListParagraph"/>
        <w:ind w:left="1440"/>
        <w:contextualSpacing w:val="0"/>
        <w:rPr>
          <w:rFonts w:ascii="Arial" w:hAnsi="Arial" w:cs="Arial"/>
          <w:iCs/>
        </w:rPr>
      </w:pPr>
      <w:r w:rsidRPr="004220CA">
        <w:rPr>
          <w:rFonts w:ascii="Arial" w:hAnsi="Arial" w:cs="Arial"/>
          <w:iCs/>
        </w:rPr>
        <w:t>In a broad review of professional medical association statements, it was found that across the AAP, AAFP, APA, AMA, ACP, ACC, ACOG, ACEP there were consistent statements on the importance of screening and intervening on SDOH to improve health outcomes and address health inequities.</w:t>
      </w:r>
      <w:r w:rsidR="00166C9F" w:rsidRPr="00166C9F">
        <w:rPr>
          <w:rFonts w:ascii="Arial" w:hAnsi="Arial" w:cs="Arial"/>
          <w:iCs/>
          <w:vertAlign w:val="superscript"/>
        </w:rPr>
        <w:t>22</w:t>
      </w:r>
    </w:p>
    <w:p w14:paraId="3121C26E" w14:textId="0EAFBB50" w:rsidR="003F5C75" w:rsidRPr="006A042A" w:rsidRDefault="006A042A" w:rsidP="006A042A">
      <w:pPr>
        <w:pStyle w:val="ListParagraph"/>
        <w:ind w:left="1440"/>
        <w:rPr>
          <w:rFonts w:ascii="Arial" w:hAnsi="Arial" w:cs="Arial"/>
          <w:iCs/>
        </w:rPr>
      </w:pPr>
      <w:r w:rsidRPr="006A042A">
        <w:rPr>
          <w:rFonts w:ascii="Arial" w:hAnsi="Arial" w:cs="Arial"/>
          <w:iCs/>
          <w:u w:val="single"/>
        </w:rPr>
        <w:t>USPSTF recommendation:</w:t>
      </w:r>
      <w:r>
        <w:rPr>
          <w:rFonts w:ascii="Arial" w:hAnsi="Arial" w:cs="Arial"/>
          <w:iCs/>
        </w:rPr>
        <w:t xml:space="preserve"> </w:t>
      </w:r>
      <w:r w:rsidR="003F5C75" w:rsidRPr="003F5C75">
        <w:rPr>
          <w:rFonts w:ascii="Arial" w:hAnsi="Arial" w:cs="Arial"/>
          <w:iCs/>
        </w:rPr>
        <w:t>American Diabetes Association</w:t>
      </w:r>
      <w:r>
        <w:rPr>
          <w:rFonts w:ascii="Arial" w:hAnsi="Arial" w:cs="Arial"/>
          <w:iCs/>
        </w:rPr>
        <w:t xml:space="preserve"> provided </w:t>
      </w:r>
      <w:r>
        <w:rPr>
          <w:rFonts w:ascii="Helvetica Neue" w:hAnsi="Helvetica Neue"/>
          <w:color w:val="383636"/>
          <w:shd w:val="clear" w:color="auto" w:fill="FFFFFF"/>
        </w:rPr>
        <w:t xml:space="preserve">the evidence-grading system for clinical practice recommendations. </w:t>
      </w:r>
      <w:r w:rsidR="003F5C75" w:rsidRPr="006A042A">
        <w:rPr>
          <w:rFonts w:ascii="Arial" w:hAnsi="Arial" w:cs="Arial"/>
          <w:iCs/>
        </w:rPr>
        <w:t xml:space="preserve">(2021). Improving Care and Promoting Health in Populations: Standards of Medical Care in Diabetes—2021. Diabetes Care, 44(Supplement 1), S7–S14. </w:t>
      </w:r>
      <w:hyperlink r:id="rId11" w:history="1">
        <w:r w:rsidR="003F5C75" w:rsidRPr="006A042A">
          <w:rPr>
            <w:rStyle w:val="Hyperlink"/>
            <w:rFonts w:ascii="Arial" w:hAnsi="Arial" w:cs="Arial"/>
            <w:iCs/>
          </w:rPr>
          <w:t>https://doi.org/10.2337/dc21-S001</w:t>
        </w:r>
      </w:hyperlink>
      <w:r w:rsidR="003F5C75" w:rsidRPr="006A042A">
        <w:rPr>
          <w:rFonts w:ascii="Arial" w:hAnsi="Arial" w:cs="Arial"/>
          <w:iCs/>
        </w:rPr>
        <w:t xml:space="preserve"> </w:t>
      </w:r>
    </w:p>
    <w:p w14:paraId="07DE44A4" w14:textId="77777777" w:rsidR="004220CA" w:rsidRPr="003811D9" w:rsidRDefault="004220CA" w:rsidP="004220CA">
      <w:pPr>
        <w:pStyle w:val="ListParagraph"/>
        <w:ind w:left="1440"/>
        <w:contextualSpacing w:val="0"/>
        <w:rPr>
          <w:rFonts w:ascii="Arial" w:hAnsi="Arial" w:cs="Arial"/>
          <w:iCs/>
        </w:rPr>
      </w:pPr>
    </w:p>
    <w:p w14:paraId="78FBDA71" w14:textId="77777777" w:rsidR="00ED5E4C" w:rsidRPr="005D6A32" w:rsidRDefault="00ED5E4C" w:rsidP="00ED5E4C">
      <w:pPr>
        <w:pStyle w:val="ListParagraph"/>
        <w:numPr>
          <w:ilvl w:val="0"/>
          <w:numId w:val="1"/>
        </w:numPr>
        <w:rPr>
          <w:rFonts w:ascii="Arial" w:hAnsi="Arial" w:cs="Arial"/>
        </w:rPr>
      </w:pPr>
      <w:r w:rsidRPr="00BF6DE9">
        <w:rPr>
          <w:rFonts w:ascii="Arial" w:hAnsi="Arial" w:cs="Arial"/>
          <w:b/>
        </w:rPr>
        <w:t>Reliability/Validity</w:t>
      </w:r>
    </w:p>
    <w:p w14:paraId="033E352A" w14:textId="6833BA49" w:rsidR="00AD3462" w:rsidRPr="006A042A" w:rsidRDefault="00ED5E4C" w:rsidP="003811D9">
      <w:pPr>
        <w:pStyle w:val="ListParagraph"/>
        <w:numPr>
          <w:ilvl w:val="0"/>
          <w:numId w:val="7"/>
        </w:numPr>
        <w:ind w:left="1440" w:hanging="360"/>
        <w:rPr>
          <w:rFonts w:ascii="Arial" w:hAnsi="Arial" w:cs="Arial"/>
          <w:b/>
          <w:bCs/>
          <w:iCs/>
        </w:rPr>
      </w:pPr>
      <w:r w:rsidRPr="006A042A">
        <w:rPr>
          <w:rFonts w:ascii="Arial" w:hAnsi="Arial" w:cs="Arial"/>
          <w:b/>
          <w:bCs/>
          <w:iCs/>
        </w:rPr>
        <w:t xml:space="preserve">What testing has been performed at the level of </w:t>
      </w:r>
      <w:r w:rsidR="00784BCE" w:rsidRPr="006A042A">
        <w:rPr>
          <w:rFonts w:ascii="Arial" w:hAnsi="Arial" w:cs="Arial"/>
          <w:b/>
          <w:bCs/>
          <w:iCs/>
        </w:rPr>
        <w:t xml:space="preserve">implementation? </w:t>
      </w:r>
      <w:r w:rsidR="00D50BF8" w:rsidRPr="006A042A">
        <w:rPr>
          <w:rFonts w:ascii="Arial" w:hAnsi="Arial" w:cs="Arial"/>
          <w:b/>
          <w:bCs/>
          <w:iCs/>
        </w:rPr>
        <w:t xml:space="preserve">(MIPS requires </w:t>
      </w:r>
      <w:r w:rsidR="008D6829" w:rsidRPr="006A042A">
        <w:rPr>
          <w:rFonts w:ascii="Arial" w:hAnsi="Arial" w:cs="Arial"/>
          <w:b/>
          <w:bCs/>
          <w:iCs/>
        </w:rPr>
        <w:t xml:space="preserve">full </w:t>
      </w:r>
      <w:r w:rsidR="00D50BF8" w:rsidRPr="006A042A">
        <w:rPr>
          <w:rFonts w:ascii="Arial" w:hAnsi="Arial" w:cs="Arial"/>
          <w:b/>
          <w:bCs/>
          <w:iCs/>
        </w:rPr>
        <w:t xml:space="preserve">measure testing at the individual clinician level (and may also need to be tested at the </w:t>
      </w:r>
      <w:r w:rsidR="00D50BF8" w:rsidRPr="006A042A">
        <w:rPr>
          <w:rFonts w:ascii="Arial" w:hAnsi="Arial" w:cs="Arial"/>
          <w:b/>
          <w:bCs/>
          <w:iCs/>
        </w:rPr>
        <w:lastRenderedPageBreak/>
        <w:t>group level) for MIPS</w:t>
      </w:r>
      <w:r w:rsidR="000D0ECA" w:rsidRPr="006A042A">
        <w:rPr>
          <w:rFonts w:ascii="Arial" w:hAnsi="Arial" w:cs="Arial"/>
          <w:b/>
          <w:bCs/>
          <w:iCs/>
        </w:rPr>
        <w:t xml:space="preserve"> Clinical Quality Measures</w:t>
      </w:r>
      <w:r w:rsidR="00D50BF8" w:rsidRPr="006A042A">
        <w:rPr>
          <w:rFonts w:ascii="Arial" w:hAnsi="Arial" w:cs="Arial"/>
          <w:b/>
          <w:bCs/>
          <w:iCs/>
        </w:rPr>
        <w:t xml:space="preserve"> </w:t>
      </w:r>
      <w:r w:rsidR="000D0ECA" w:rsidRPr="006A042A">
        <w:rPr>
          <w:rFonts w:ascii="Arial" w:hAnsi="Arial" w:cs="Arial"/>
          <w:b/>
          <w:bCs/>
          <w:iCs/>
        </w:rPr>
        <w:t>(</w:t>
      </w:r>
      <w:r w:rsidR="00D50BF8" w:rsidRPr="006A042A">
        <w:rPr>
          <w:rFonts w:ascii="Arial" w:hAnsi="Arial" w:cs="Arial"/>
          <w:b/>
          <w:bCs/>
          <w:iCs/>
        </w:rPr>
        <w:t>CQM</w:t>
      </w:r>
      <w:r w:rsidR="000D0ECA" w:rsidRPr="006A042A">
        <w:rPr>
          <w:rFonts w:ascii="Arial" w:hAnsi="Arial" w:cs="Arial"/>
          <w:b/>
          <w:bCs/>
          <w:iCs/>
        </w:rPr>
        <w:t>s)</w:t>
      </w:r>
      <w:r w:rsidR="00D50BF8" w:rsidRPr="006A042A">
        <w:rPr>
          <w:rFonts w:ascii="Arial" w:hAnsi="Arial" w:cs="Arial"/>
          <w:b/>
          <w:bCs/>
          <w:iCs/>
        </w:rPr>
        <w:t xml:space="preserve"> and </w:t>
      </w:r>
      <w:r w:rsidR="000D0ECA" w:rsidRPr="006A042A">
        <w:rPr>
          <w:rFonts w:ascii="Arial" w:hAnsi="Arial" w:cs="Arial"/>
          <w:b/>
          <w:bCs/>
          <w:iCs/>
        </w:rPr>
        <w:t>Electronic Clinical Quality Measures (</w:t>
      </w:r>
      <w:r w:rsidR="00D50BF8" w:rsidRPr="006A042A">
        <w:rPr>
          <w:rFonts w:ascii="Arial" w:hAnsi="Arial" w:cs="Arial"/>
          <w:b/>
          <w:bCs/>
          <w:iCs/>
        </w:rPr>
        <w:t>eCQM</w:t>
      </w:r>
      <w:r w:rsidR="000D0ECA" w:rsidRPr="006A042A">
        <w:rPr>
          <w:rFonts w:ascii="Arial" w:hAnsi="Arial" w:cs="Arial"/>
          <w:b/>
          <w:bCs/>
          <w:iCs/>
        </w:rPr>
        <w:t>s)</w:t>
      </w:r>
      <w:r w:rsidR="00D50BF8" w:rsidRPr="006A042A">
        <w:rPr>
          <w:rFonts w:ascii="Arial" w:hAnsi="Arial" w:cs="Arial"/>
          <w:b/>
          <w:bCs/>
          <w:iCs/>
        </w:rPr>
        <w:t xml:space="preserve"> collection types. Administrative claims measures tested at the group level require a reliability threshold to be implemented at the group level</w:t>
      </w:r>
      <w:r w:rsidR="00DE4ABB" w:rsidRPr="006A042A">
        <w:rPr>
          <w:rFonts w:ascii="Arial" w:hAnsi="Arial" w:cs="Arial"/>
          <w:b/>
          <w:bCs/>
          <w:iCs/>
        </w:rPr>
        <w:t>.</w:t>
      </w:r>
      <w:r w:rsidR="00D50BF8" w:rsidRPr="006A042A">
        <w:rPr>
          <w:rFonts w:ascii="Arial" w:hAnsi="Arial" w:cs="Arial"/>
          <w:b/>
          <w:bCs/>
          <w:iCs/>
        </w:rPr>
        <w:t xml:space="preserve">) </w:t>
      </w:r>
    </w:p>
    <w:p w14:paraId="70F80DC5" w14:textId="73229694" w:rsidR="00ED5E4C" w:rsidRPr="006A042A" w:rsidRDefault="00ED5E4C" w:rsidP="003811D9">
      <w:pPr>
        <w:ind w:left="1440"/>
        <w:rPr>
          <w:rFonts w:ascii="Arial" w:hAnsi="Arial" w:cs="Arial"/>
          <w:b/>
          <w:bCs/>
          <w:iCs/>
        </w:rPr>
      </w:pPr>
      <w:r w:rsidRPr="006A042A">
        <w:rPr>
          <w:rFonts w:ascii="Arial" w:hAnsi="Arial" w:cs="Arial"/>
          <w:b/>
          <w:bCs/>
          <w:iCs/>
        </w:rPr>
        <w:t xml:space="preserve">Please provide testing results including the N value, Bonnie test case results, correlation coefficient and any other pertinent information or values to be considered. </w:t>
      </w:r>
    </w:p>
    <w:p w14:paraId="2C9869B4" w14:textId="77777777" w:rsidR="006A042A" w:rsidRDefault="00ED5E4C" w:rsidP="006A042A">
      <w:pPr>
        <w:pStyle w:val="ListParagraph"/>
        <w:numPr>
          <w:ilvl w:val="1"/>
          <w:numId w:val="6"/>
        </w:numPr>
        <w:ind w:left="1890"/>
        <w:rPr>
          <w:rFonts w:ascii="Arial" w:hAnsi="Arial" w:cs="Arial"/>
          <w:b/>
          <w:bCs/>
          <w:iCs/>
        </w:rPr>
      </w:pPr>
      <w:r w:rsidRPr="006A042A">
        <w:rPr>
          <w:rFonts w:ascii="Arial" w:hAnsi="Arial" w:cs="Arial"/>
          <w:b/>
          <w:bCs/>
          <w:iCs/>
        </w:rPr>
        <w:t>Reliability Testing Results</w:t>
      </w:r>
      <w:r w:rsidR="00C448ED" w:rsidRPr="006A042A">
        <w:rPr>
          <w:rFonts w:ascii="Arial" w:hAnsi="Arial" w:cs="Arial"/>
          <w:b/>
          <w:bCs/>
          <w:iCs/>
        </w:rPr>
        <w:t xml:space="preserve"> at the accountable entity level</w:t>
      </w:r>
    </w:p>
    <w:p w14:paraId="3D58D34C" w14:textId="48EFA4F7" w:rsidR="00BE6C20" w:rsidRPr="006A042A" w:rsidRDefault="00BE6C20" w:rsidP="006A042A">
      <w:pPr>
        <w:pStyle w:val="ListParagraph"/>
        <w:numPr>
          <w:ilvl w:val="2"/>
          <w:numId w:val="6"/>
        </w:numPr>
        <w:rPr>
          <w:rFonts w:ascii="Arial" w:hAnsi="Arial" w:cs="Arial"/>
          <w:b/>
          <w:bCs/>
          <w:iCs/>
        </w:rPr>
      </w:pPr>
      <w:r w:rsidRPr="006A042A">
        <w:rPr>
          <w:rFonts w:ascii="Arial" w:hAnsi="Arial" w:cs="Arial"/>
          <w:iCs/>
        </w:rPr>
        <w:t>Not yet complete, expected August 2024</w:t>
      </w:r>
    </w:p>
    <w:p w14:paraId="0795A576" w14:textId="77777777" w:rsidR="006A042A" w:rsidRPr="00BE6C20" w:rsidRDefault="006A042A" w:rsidP="00BE6C20">
      <w:pPr>
        <w:pStyle w:val="ListParagraph"/>
        <w:ind w:left="1890" w:firstLine="270"/>
        <w:rPr>
          <w:rFonts w:ascii="Arial" w:hAnsi="Arial" w:cs="Arial"/>
          <w:iCs/>
        </w:rPr>
      </w:pPr>
    </w:p>
    <w:p w14:paraId="0FA06902" w14:textId="77777777" w:rsidR="00D178E2" w:rsidRPr="00B37778" w:rsidRDefault="00BC7A62" w:rsidP="00D178E2">
      <w:pPr>
        <w:pStyle w:val="ListParagraph"/>
        <w:numPr>
          <w:ilvl w:val="1"/>
          <w:numId w:val="6"/>
        </w:numPr>
        <w:ind w:left="1890"/>
        <w:rPr>
          <w:rFonts w:ascii="Arial" w:hAnsi="Arial" w:cs="Arial"/>
          <w:b/>
          <w:bCs/>
          <w:iCs/>
        </w:rPr>
      </w:pPr>
      <w:r w:rsidRPr="00B37778">
        <w:rPr>
          <w:rFonts w:ascii="Arial" w:hAnsi="Arial" w:cs="Arial"/>
          <w:b/>
          <w:bCs/>
          <w:iCs/>
        </w:rPr>
        <w:t xml:space="preserve">Face </w:t>
      </w:r>
      <w:r w:rsidR="00ED5E4C" w:rsidRPr="00B37778">
        <w:rPr>
          <w:rFonts w:ascii="Arial" w:hAnsi="Arial" w:cs="Arial"/>
          <w:b/>
          <w:bCs/>
          <w:iCs/>
        </w:rPr>
        <w:t xml:space="preserve">Validity Testing Results, </w:t>
      </w:r>
      <w:r w:rsidR="00144B72" w:rsidRPr="00B37778">
        <w:rPr>
          <w:rFonts w:ascii="Arial" w:hAnsi="Arial" w:cs="Arial"/>
          <w:b/>
          <w:bCs/>
          <w:iCs/>
        </w:rPr>
        <w:t>C</w:t>
      </w:r>
      <w:r w:rsidR="00ED5E4C" w:rsidRPr="00B37778">
        <w:rPr>
          <w:rFonts w:ascii="Arial" w:hAnsi="Arial" w:cs="Arial"/>
          <w:b/>
          <w:bCs/>
          <w:iCs/>
        </w:rPr>
        <w:t xml:space="preserve">linician </w:t>
      </w:r>
      <w:r w:rsidR="00144B72" w:rsidRPr="00B37778">
        <w:rPr>
          <w:rFonts w:ascii="Arial" w:hAnsi="Arial" w:cs="Arial"/>
          <w:b/>
          <w:bCs/>
          <w:iCs/>
        </w:rPr>
        <w:t>S</w:t>
      </w:r>
      <w:r w:rsidR="00ED5E4C" w:rsidRPr="00B37778">
        <w:rPr>
          <w:rFonts w:ascii="Arial" w:hAnsi="Arial" w:cs="Arial"/>
          <w:b/>
          <w:bCs/>
          <w:iCs/>
        </w:rPr>
        <w:t>ite</w:t>
      </w:r>
      <w:r w:rsidR="003C0773" w:rsidRPr="00B37778">
        <w:rPr>
          <w:rFonts w:ascii="Arial" w:hAnsi="Arial" w:cs="Arial"/>
          <w:b/>
          <w:bCs/>
          <w:iCs/>
        </w:rPr>
        <w:t>s</w:t>
      </w:r>
    </w:p>
    <w:p w14:paraId="7B2CFA2D" w14:textId="77777777" w:rsidR="00D178E2" w:rsidRPr="00D178E2" w:rsidRDefault="00D178E2" w:rsidP="00D178E2">
      <w:pPr>
        <w:pStyle w:val="ListParagraph"/>
        <w:ind w:left="1890"/>
        <w:rPr>
          <w:rStyle w:val="eop"/>
          <w:rFonts w:ascii="Arial" w:hAnsi="Arial" w:cs="Arial"/>
        </w:rPr>
      </w:pPr>
      <w:r w:rsidRPr="00D178E2">
        <w:rPr>
          <w:rStyle w:val="normaltextrun"/>
          <w:rFonts w:ascii="Arial" w:hAnsi="Arial" w:cs="Arial"/>
        </w:rPr>
        <w:t xml:space="preserve">We systematically assessed the </w:t>
      </w:r>
      <w:r w:rsidRPr="00D178E2">
        <w:rPr>
          <w:rStyle w:val="findhit"/>
          <w:rFonts w:ascii="Arial" w:hAnsi="Arial" w:cs="Arial"/>
        </w:rPr>
        <w:t>face validity</w:t>
      </w:r>
      <w:r w:rsidRPr="00D178E2">
        <w:rPr>
          <w:rStyle w:val="normaltextrun"/>
          <w:rFonts w:ascii="Arial" w:hAnsi="Arial" w:cs="Arial"/>
        </w:rPr>
        <w:t xml:space="preserve"> of the measure score as an indicator of quality by soliciting the TEP members agreement with the following statement: The OUTPATIENT Addressing Social Needs Electronic Clinical Quality Measure could differentiate good from poor quality care among providers (or accountable entities),</w:t>
      </w:r>
      <w:r w:rsidRPr="00D178E2">
        <w:rPr>
          <w:rStyle w:val="eop"/>
          <w:rFonts w:ascii="Arial" w:hAnsi="Arial" w:cs="Arial"/>
        </w:rPr>
        <w:t> </w:t>
      </w:r>
    </w:p>
    <w:p w14:paraId="4D4AE6AA" w14:textId="77777777" w:rsidR="00D178E2" w:rsidRPr="00D178E2" w:rsidRDefault="00D178E2" w:rsidP="00D178E2">
      <w:pPr>
        <w:pStyle w:val="ListParagraph"/>
        <w:ind w:left="1890"/>
        <w:rPr>
          <w:rStyle w:val="eop"/>
          <w:rFonts w:ascii="Arial" w:hAnsi="Arial" w:cs="Arial"/>
        </w:rPr>
      </w:pPr>
    </w:p>
    <w:p w14:paraId="2D424273" w14:textId="77777777" w:rsidR="00D178E2" w:rsidRPr="00D178E2" w:rsidRDefault="00D178E2" w:rsidP="00D178E2">
      <w:pPr>
        <w:pStyle w:val="ListParagraph"/>
        <w:ind w:left="1890"/>
        <w:rPr>
          <w:rStyle w:val="eop"/>
          <w:rFonts w:ascii="Arial" w:hAnsi="Arial" w:cs="Arial"/>
        </w:rPr>
      </w:pPr>
      <w:r w:rsidRPr="00D178E2">
        <w:rPr>
          <w:rStyle w:val="normaltextrun"/>
          <w:rFonts w:ascii="Arial" w:hAnsi="Arial" w:cs="Arial"/>
        </w:rPr>
        <w:t xml:space="preserve">Results of the TEP rating of agreement with the validity statement were as follows: A total of 14 TEP members responded. The scale was as follows: </w:t>
      </w:r>
      <w:r w:rsidRPr="00D178E2">
        <w:rPr>
          <w:rStyle w:val="normaltextrun"/>
          <w:rFonts w:ascii="Arial" w:hAnsi="Arial" w:cs="Arial"/>
          <w:i/>
          <w:iCs/>
        </w:rPr>
        <w:t>strongly agree, agree, neutral disagree, strongly disagree.</w:t>
      </w:r>
      <w:r w:rsidRPr="00D178E2">
        <w:rPr>
          <w:rStyle w:val="normaltextrun"/>
          <w:rFonts w:ascii="Arial" w:hAnsi="Arial" w:cs="Arial"/>
        </w:rPr>
        <w:t xml:space="preserve"> There were 2 votes for strongly agree (14.3%), 3 votes for agree (21.4%),7 votes for neutral (50%), 0 votes for disagree (0%), and 2 votes for strongly disagree (14.3%).</w:t>
      </w:r>
      <w:r w:rsidRPr="00D178E2">
        <w:rPr>
          <w:rStyle w:val="eop"/>
          <w:rFonts w:ascii="Arial" w:hAnsi="Arial" w:cs="Arial"/>
        </w:rPr>
        <w:t> </w:t>
      </w:r>
    </w:p>
    <w:p w14:paraId="68326C94" w14:textId="77777777" w:rsidR="00D178E2" w:rsidRPr="00D178E2" w:rsidRDefault="00D178E2" w:rsidP="00D178E2">
      <w:pPr>
        <w:pStyle w:val="ListParagraph"/>
        <w:ind w:left="1890"/>
        <w:rPr>
          <w:rStyle w:val="findhit"/>
          <w:rFonts w:ascii="Arial" w:hAnsi="Arial" w:cs="Arial"/>
        </w:rPr>
      </w:pPr>
    </w:p>
    <w:p w14:paraId="746FE4E1" w14:textId="77777777" w:rsidR="00D178E2" w:rsidRDefault="00D178E2" w:rsidP="00D178E2">
      <w:pPr>
        <w:pStyle w:val="ListParagraph"/>
        <w:ind w:left="1890"/>
        <w:rPr>
          <w:rStyle w:val="eop"/>
          <w:rFonts w:ascii="Arial" w:hAnsi="Arial" w:cs="Arial"/>
        </w:rPr>
      </w:pPr>
      <w:r w:rsidRPr="00D178E2">
        <w:rPr>
          <w:rStyle w:val="findhit"/>
          <w:rFonts w:ascii="Arial" w:hAnsi="Arial" w:cs="Arial"/>
        </w:rPr>
        <w:t>Face validity</w:t>
      </w:r>
      <w:r w:rsidRPr="00D178E2">
        <w:rPr>
          <w:rStyle w:val="normaltextrun"/>
          <w:rFonts w:ascii="Arial" w:hAnsi="Arial" w:cs="Arial"/>
        </w:rPr>
        <w:t>: 85.7% of TEP members either agreed or were neutral that the ASN eCQM measure could differentiate good from poor quality care. Members who voted in agreement noted the activities captured by the measure align with definition of good care, members who voted in neutrality noted uncertainty of how the measure would determine quality of care by capturing percentage of patients screened and percentage of follow up for positive screenings.</w:t>
      </w:r>
      <w:r w:rsidRPr="00D178E2">
        <w:rPr>
          <w:rStyle w:val="eop"/>
          <w:rFonts w:ascii="Arial" w:hAnsi="Arial" w:cs="Arial"/>
        </w:rPr>
        <w:t> </w:t>
      </w:r>
    </w:p>
    <w:p w14:paraId="0E44E582" w14:textId="77777777" w:rsidR="00D178E2" w:rsidRDefault="00D178E2" w:rsidP="00D178E2">
      <w:pPr>
        <w:pStyle w:val="ListParagraph"/>
        <w:ind w:left="1890"/>
        <w:rPr>
          <w:rStyle w:val="eop"/>
          <w:rFonts w:ascii="Arial" w:hAnsi="Arial" w:cs="Arial"/>
        </w:rPr>
      </w:pPr>
    </w:p>
    <w:p w14:paraId="737ED030" w14:textId="77777777" w:rsidR="00D178E2" w:rsidRDefault="00D178E2" w:rsidP="00D178E2">
      <w:pPr>
        <w:pStyle w:val="ListParagraph"/>
        <w:ind w:left="1890"/>
        <w:rPr>
          <w:rStyle w:val="eop"/>
          <w:rFonts w:ascii="Arial" w:hAnsi="Arial" w:cs="Arial"/>
          <w:color w:val="000000"/>
        </w:rPr>
      </w:pPr>
      <w:r w:rsidRPr="00D178E2">
        <w:rPr>
          <w:rStyle w:val="normaltextrun"/>
          <w:rFonts w:ascii="Arial" w:hAnsi="Arial" w:cs="Arial"/>
          <w:color w:val="000000"/>
        </w:rPr>
        <w:t>The 14.3% of TEP members who voted disagree or strongly disagree noted the following reasons for disagreement: </w:t>
      </w:r>
      <w:r w:rsidRPr="00D178E2">
        <w:rPr>
          <w:rStyle w:val="eop"/>
          <w:rFonts w:ascii="Arial" w:hAnsi="Arial" w:cs="Arial"/>
          <w:color w:val="000000"/>
        </w:rPr>
        <w:t> </w:t>
      </w:r>
    </w:p>
    <w:p w14:paraId="5B16B30B" w14:textId="77777777" w:rsidR="00D178E2" w:rsidRPr="00D178E2" w:rsidRDefault="00D178E2" w:rsidP="00C3192E">
      <w:pPr>
        <w:pStyle w:val="ListParagraph"/>
        <w:numPr>
          <w:ilvl w:val="2"/>
          <w:numId w:val="18"/>
        </w:numPr>
        <w:rPr>
          <w:rStyle w:val="eop"/>
          <w:rFonts w:ascii="Arial" w:hAnsi="Arial" w:cs="Arial"/>
          <w:iCs/>
        </w:rPr>
      </w:pPr>
      <w:r w:rsidRPr="00D178E2">
        <w:rPr>
          <w:rStyle w:val="normaltextrun"/>
          <w:rFonts w:ascii="Arial" w:hAnsi="Arial" w:cs="Arial"/>
          <w:color w:val="000000"/>
        </w:rPr>
        <w:t>They were unclear how the numerator and denominator are defined. </w:t>
      </w:r>
      <w:r w:rsidRPr="00D178E2">
        <w:rPr>
          <w:rStyle w:val="eop"/>
          <w:rFonts w:ascii="Arial" w:hAnsi="Arial" w:cs="Arial"/>
          <w:color w:val="000000"/>
        </w:rPr>
        <w:t> </w:t>
      </w:r>
    </w:p>
    <w:p w14:paraId="134EB34A" w14:textId="77777777" w:rsidR="00D178E2" w:rsidRPr="00D178E2" w:rsidRDefault="00D178E2" w:rsidP="00C3192E">
      <w:pPr>
        <w:pStyle w:val="ListParagraph"/>
        <w:numPr>
          <w:ilvl w:val="2"/>
          <w:numId w:val="18"/>
        </w:numPr>
        <w:rPr>
          <w:rStyle w:val="eop"/>
          <w:rFonts w:ascii="Arial" w:hAnsi="Arial" w:cs="Arial"/>
          <w:iCs/>
        </w:rPr>
      </w:pPr>
      <w:r w:rsidRPr="00D178E2">
        <w:rPr>
          <w:rStyle w:val="normaltextrun"/>
          <w:rFonts w:ascii="Arial" w:hAnsi="Arial" w:cs="Arial"/>
          <w:color w:val="000000"/>
        </w:rPr>
        <w:t>It was noted the numerator was too broad, while the denominator only counts specific visit types, potentially skewing results.</w:t>
      </w:r>
      <w:r w:rsidRPr="00D178E2">
        <w:rPr>
          <w:rStyle w:val="eop"/>
          <w:rFonts w:ascii="Arial" w:hAnsi="Arial" w:cs="Arial"/>
          <w:color w:val="000000"/>
        </w:rPr>
        <w:t> </w:t>
      </w:r>
    </w:p>
    <w:p w14:paraId="3765DEE4" w14:textId="77777777" w:rsidR="00D178E2" w:rsidRPr="00D178E2" w:rsidRDefault="00D178E2" w:rsidP="00C3192E">
      <w:pPr>
        <w:pStyle w:val="ListParagraph"/>
        <w:numPr>
          <w:ilvl w:val="2"/>
          <w:numId w:val="18"/>
        </w:numPr>
        <w:rPr>
          <w:rStyle w:val="eop"/>
          <w:rFonts w:ascii="Arial" w:hAnsi="Arial" w:cs="Arial"/>
          <w:iCs/>
        </w:rPr>
      </w:pPr>
      <w:r w:rsidRPr="00D178E2">
        <w:rPr>
          <w:rStyle w:val="normaltextrun"/>
          <w:rFonts w:ascii="Arial" w:hAnsi="Arial" w:cs="Arial"/>
          <w:color w:val="000000"/>
        </w:rPr>
        <w:t>Patient satisfaction, particularly regarding follow up on positive assessments, might not accurately reflect provider performance since many solutions rely on community resources outside of a provider’s control.</w:t>
      </w:r>
      <w:r w:rsidRPr="00D178E2">
        <w:rPr>
          <w:rStyle w:val="eop"/>
          <w:rFonts w:ascii="Arial" w:hAnsi="Arial" w:cs="Arial"/>
          <w:color w:val="000000"/>
        </w:rPr>
        <w:t> </w:t>
      </w:r>
    </w:p>
    <w:p w14:paraId="4E15F043" w14:textId="77777777" w:rsidR="00D178E2" w:rsidRPr="00D178E2" w:rsidRDefault="00D178E2" w:rsidP="00C3192E">
      <w:pPr>
        <w:pStyle w:val="ListParagraph"/>
        <w:numPr>
          <w:ilvl w:val="2"/>
          <w:numId w:val="18"/>
        </w:numPr>
        <w:rPr>
          <w:rStyle w:val="eop"/>
          <w:rFonts w:ascii="Arial" w:hAnsi="Arial" w:cs="Arial"/>
          <w:iCs/>
        </w:rPr>
      </w:pPr>
      <w:r w:rsidRPr="00D178E2">
        <w:rPr>
          <w:rStyle w:val="normaltextrun"/>
          <w:rFonts w:ascii="Arial" w:hAnsi="Arial" w:cs="Arial"/>
          <w:color w:val="000000"/>
        </w:rPr>
        <w:t>They were concerned about the measure's timing, noting the timeframe for follow-up is unrealistically short and not necessarily aligned with the provision of effective interventions. </w:t>
      </w:r>
      <w:r w:rsidRPr="00D178E2">
        <w:rPr>
          <w:rStyle w:val="eop"/>
          <w:rFonts w:ascii="Arial" w:hAnsi="Arial" w:cs="Arial"/>
          <w:color w:val="000000"/>
        </w:rPr>
        <w:t> </w:t>
      </w:r>
    </w:p>
    <w:p w14:paraId="626ADF5C" w14:textId="77777777" w:rsidR="00D178E2" w:rsidRPr="00D178E2" w:rsidRDefault="00D178E2" w:rsidP="00C3192E">
      <w:pPr>
        <w:pStyle w:val="ListParagraph"/>
        <w:numPr>
          <w:ilvl w:val="2"/>
          <w:numId w:val="18"/>
        </w:numPr>
        <w:rPr>
          <w:rStyle w:val="eop"/>
          <w:rFonts w:ascii="Arial" w:hAnsi="Arial" w:cs="Arial"/>
          <w:iCs/>
        </w:rPr>
      </w:pPr>
      <w:r w:rsidRPr="00D178E2">
        <w:rPr>
          <w:rStyle w:val="normaltextrun"/>
          <w:rFonts w:ascii="Arial" w:hAnsi="Arial" w:cs="Arial"/>
          <w:color w:val="000000"/>
        </w:rPr>
        <w:t>Feasibility of the measure was a concern, particularly in terms of data capture within EHR systems. </w:t>
      </w:r>
      <w:r w:rsidRPr="00D178E2">
        <w:rPr>
          <w:rStyle w:val="normaltextrun"/>
          <w:rFonts w:ascii="Arial" w:hAnsi="Arial" w:cs="Arial"/>
          <w:color w:val="D13438"/>
        </w:rPr>
        <w:t> </w:t>
      </w:r>
      <w:r w:rsidRPr="00D178E2">
        <w:rPr>
          <w:rStyle w:val="eop"/>
          <w:rFonts w:ascii="Arial" w:hAnsi="Arial" w:cs="Arial"/>
          <w:color w:val="D13438"/>
        </w:rPr>
        <w:t> </w:t>
      </w:r>
    </w:p>
    <w:p w14:paraId="2176A388" w14:textId="77777777" w:rsidR="00C3192E" w:rsidRPr="00C3192E" w:rsidRDefault="00D178E2" w:rsidP="00C3192E">
      <w:pPr>
        <w:pStyle w:val="ListParagraph"/>
        <w:numPr>
          <w:ilvl w:val="2"/>
          <w:numId w:val="18"/>
        </w:numPr>
        <w:rPr>
          <w:rStyle w:val="eop"/>
          <w:rFonts w:ascii="Arial" w:hAnsi="Arial" w:cs="Arial"/>
          <w:iCs/>
        </w:rPr>
      </w:pPr>
      <w:r w:rsidRPr="00D178E2">
        <w:rPr>
          <w:rStyle w:val="normaltextrun"/>
          <w:rFonts w:ascii="Arial" w:hAnsi="Arial" w:cs="Arial"/>
        </w:rPr>
        <w:t>They were concerned results do not reflect why a lack of follow-up occurred, which might be the result of limited resources available at the community level, which providers should not be held accountable for.</w:t>
      </w:r>
      <w:r w:rsidRPr="00D178E2">
        <w:rPr>
          <w:rStyle w:val="eop"/>
          <w:rFonts w:ascii="Arial" w:hAnsi="Arial" w:cs="Arial"/>
        </w:rPr>
        <w:t> </w:t>
      </w:r>
    </w:p>
    <w:p w14:paraId="293AACFF" w14:textId="490E2A11" w:rsidR="00D178E2" w:rsidRPr="00C3192E" w:rsidRDefault="00513F7B" w:rsidP="00B37778">
      <w:pPr>
        <w:ind w:left="1890"/>
        <w:rPr>
          <w:rFonts w:ascii="Arial" w:hAnsi="Arial" w:cs="Arial"/>
          <w:iCs/>
        </w:rPr>
      </w:pPr>
      <w:r w:rsidRPr="00513F7B">
        <w:rPr>
          <w:rFonts w:ascii="Arial" w:hAnsi="Arial" w:cs="Arial"/>
          <w:color w:val="000000" w:themeColor="text1"/>
        </w:rPr>
        <w:t>Due to the currently available data in ecosystem</w:t>
      </w:r>
      <w:r w:rsidR="00D178E2" w:rsidRPr="070D6489">
        <w:rPr>
          <w:rStyle w:val="normaltextrun"/>
          <w:rFonts w:ascii="Arial" w:hAnsi="Arial" w:cs="Arial"/>
          <w:color w:val="000000" w:themeColor="text1"/>
        </w:rPr>
        <w:t xml:space="preserve">, we were unable to conduct the </w:t>
      </w:r>
      <w:r w:rsidR="00D178E2" w:rsidRPr="070D6489">
        <w:rPr>
          <w:rStyle w:val="findhit"/>
          <w:rFonts w:ascii="Arial" w:hAnsi="Arial" w:cs="Arial"/>
          <w:color w:val="000000" w:themeColor="text1"/>
        </w:rPr>
        <w:t>face validity</w:t>
      </w:r>
      <w:r w:rsidR="00D178E2" w:rsidRPr="070D6489">
        <w:rPr>
          <w:rStyle w:val="normaltextrun"/>
          <w:rFonts w:ascii="Arial" w:hAnsi="Arial" w:cs="Arial"/>
          <w:color w:val="000000" w:themeColor="text1"/>
        </w:rPr>
        <w:t xml:space="preserve"> vote on the final performance measure with the TEP prior to MUC submission. We have entered results in which the TEP voted on measure importance based off the fully specified measure and testing plan. We intend to provide </w:t>
      </w:r>
      <w:r w:rsidR="00D178E2" w:rsidRPr="070D6489">
        <w:rPr>
          <w:rStyle w:val="findhit"/>
          <w:rFonts w:ascii="Arial" w:hAnsi="Arial" w:cs="Arial"/>
          <w:color w:val="000000" w:themeColor="text1"/>
        </w:rPr>
        <w:t>face validity</w:t>
      </w:r>
      <w:r w:rsidR="00D178E2" w:rsidRPr="070D6489">
        <w:rPr>
          <w:rStyle w:val="normaltextrun"/>
          <w:rFonts w:ascii="Arial" w:hAnsi="Arial" w:cs="Arial"/>
          <w:color w:val="000000" w:themeColor="text1"/>
        </w:rPr>
        <w:t xml:space="preserve"> results on the final performance measure in </w:t>
      </w:r>
      <w:r w:rsidR="00076CA8">
        <w:rPr>
          <w:rStyle w:val="normaltextrun"/>
          <w:rFonts w:ascii="Arial" w:hAnsi="Arial" w:cs="Arial"/>
          <w:color w:val="000000" w:themeColor="text1"/>
        </w:rPr>
        <w:t>August 2024</w:t>
      </w:r>
      <w:r w:rsidR="00D178E2" w:rsidRPr="070D6489">
        <w:rPr>
          <w:rStyle w:val="normaltextrun"/>
          <w:rFonts w:ascii="Arial" w:hAnsi="Arial" w:cs="Arial"/>
          <w:color w:val="000000" w:themeColor="text1"/>
        </w:rPr>
        <w:t>.</w:t>
      </w:r>
      <w:r w:rsidR="00D178E2" w:rsidRPr="070D6489">
        <w:rPr>
          <w:rStyle w:val="eop"/>
          <w:rFonts w:ascii="Arial" w:hAnsi="Arial" w:cs="Arial"/>
          <w:color w:val="000000" w:themeColor="text1"/>
        </w:rPr>
        <w:t> </w:t>
      </w:r>
    </w:p>
    <w:p w14:paraId="0A50331F" w14:textId="77777777" w:rsidR="006A042A" w:rsidRDefault="006A042A" w:rsidP="006A042A">
      <w:pPr>
        <w:pStyle w:val="ListParagraph"/>
        <w:ind w:left="1890"/>
        <w:rPr>
          <w:rFonts w:ascii="Arial" w:hAnsi="Arial" w:cs="Arial"/>
        </w:rPr>
      </w:pPr>
    </w:p>
    <w:p w14:paraId="4AC428CD" w14:textId="21711570" w:rsidR="00EA7AC8" w:rsidRPr="00B37778" w:rsidRDefault="00665ABA" w:rsidP="211D164F">
      <w:pPr>
        <w:pStyle w:val="ListParagraph"/>
        <w:numPr>
          <w:ilvl w:val="1"/>
          <w:numId w:val="6"/>
        </w:numPr>
        <w:ind w:left="1890"/>
        <w:rPr>
          <w:rFonts w:ascii="Arial" w:hAnsi="Arial" w:cs="Arial"/>
          <w:b/>
          <w:bCs/>
        </w:rPr>
      </w:pPr>
      <w:r w:rsidRPr="00B37778">
        <w:rPr>
          <w:rFonts w:ascii="Arial" w:hAnsi="Arial" w:cs="Arial"/>
          <w:b/>
          <w:bCs/>
        </w:rPr>
        <w:t xml:space="preserve">Empiric Validity </w:t>
      </w:r>
      <w:r w:rsidR="0016710D" w:rsidRPr="00B37778">
        <w:rPr>
          <w:rFonts w:ascii="Arial" w:hAnsi="Arial" w:cs="Arial"/>
          <w:b/>
          <w:bCs/>
        </w:rPr>
        <w:t>Testing Results at the accountable entity level</w:t>
      </w:r>
    </w:p>
    <w:p w14:paraId="4BEA8EE1" w14:textId="77777777" w:rsidR="00EA7AC8" w:rsidRPr="00BE6C20" w:rsidRDefault="00EA7AC8" w:rsidP="00EA7AC8">
      <w:pPr>
        <w:pStyle w:val="ListParagraph"/>
        <w:numPr>
          <w:ilvl w:val="2"/>
          <w:numId w:val="6"/>
        </w:numPr>
        <w:rPr>
          <w:rFonts w:ascii="Arial" w:hAnsi="Arial" w:cs="Arial"/>
          <w:iCs/>
        </w:rPr>
      </w:pPr>
      <w:r>
        <w:rPr>
          <w:rFonts w:ascii="Arial" w:hAnsi="Arial" w:cs="Arial"/>
          <w:iCs/>
        </w:rPr>
        <w:lastRenderedPageBreak/>
        <w:t>Not yet complete, expected August 2024</w:t>
      </w:r>
    </w:p>
    <w:p w14:paraId="0F56220D" w14:textId="2F181AAD" w:rsidR="00665ABA" w:rsidRPr="003811D9" w:rsidRDefault="00665ABA" w:rsidP="00EA7AC8">
      <w:pPr>
        <w:pStyle w:val="ListParagraph"/>
        <w:ind w:left="2160"/>
        <w:rPr>
          <w:rFonts w:ascii="Arial" w:hAnsi="Arial" w:cs="Arial"/>
        </w:rPr>
      </w:pPr>
      <w:r w:rsidRPr="211D164F">
        <w:rPr>
          <w:rFonts w:ascii="Arial" w:hAnsi="Arial" w:cs="Arial"/>
        </w:rPr>
        <w:t xml:space="preserve"> </w:t>
      </w:r>
    </w:p>
    <w:p w14:paraId="3C95EC4D" w14:textId="298D1CD6" w:rsidR="0E4CCD3D" w:rsidRPr="00B37778" w:rsidRDefault="0E4CCD3D" w:rsidP="211D164F">
      <w:pPr>
        <w:pStyle w:val="ListParagraph"/>
        <w:numPr>
          <w:ilvl w:val="1"/>
          <w:numId w:val="6"/>
        </w:numPr>
        <w:ind w:left="1890"/>
        <w:rPr>
          <w:b/>
          <w:bCs/>
        </w:rPr>
      </w:pPr>
      <w:r w:rsidRPr="00B37778">
        <w:rPr>
          <w:rFonts w:ascii="Arial" w:hAnsi="Arial" w:cs="Arial"/>
          <w:b/>
          <w:bCs/>
        </w:rPr>
        <w:t>Data Element/Patient Encounter Level Testing</w:t>
      </w:r>
    </w:p>
    <w:p w14:paraId="03CAC6A4" w14:textId="77777777" w:rsidR="00EA7AC8" w:rsidRPr="00BE6C20" w:rsidRDefault="00EA7AC8" w:rsidP="00B37778">
      <w:pPr>
        <w:pStyle w:val="ListParagraph"/>
        <w:numPr>
          <w:ilvl w:val="2"/>
          <w:numId w:val="6"/>
        </w:numPr>
        <w:rPr>
          <w:rFonts w:ascii="Arial" w:hAnsi="Arial" w:cs="Arial"/>
          <w:iCs/>
        </w:rPr>
      </w:pPr>
      <w:r>
        <w:rPr>
          <w:rFonts w:ascii="Arial" w:hAnsi="Arial" w:cs="Arial"/>
          <w:iCs/>
        </w:rPr>
        <w:t>Not yet complete, expected August 2024</w:t>
      </w:r>
    </w:p>
    <w:p w14:paraId="00F864C0" w14:textId="77777777" w:rsidR="00EA7AC8" w:rsidRDefault="00EA7AC8" w:rsidP="00EA7AC8">
      <w:pPr>
        <w:pStyle w:val="ListParagraph"/>
        <w:ind w:left="1890"/>
      </w:pPr>
    </w:p>
    <w:p w14:paraId="6E5B7EFC" w14:textId="3DD80802" w:rsidR="00ED5E4C" w:rsidRPr="00B37778" w:rsidRDefault="00ED5E4C" w:rsidP="211D164F">
      <w:pPr>
        <w:pStyle w:val="ListParagraph"/>
        <w:numPr>
          <w:ilvl w:val="1"/>
          <w:numId w:val="6"/>
        </w:numPr>
        <w:ind w:left="1890"/>
        <w:rPr>
          <w:rFonts w:ascii="Arial" w:hAnsi="Arial" w:cs="Arial"/>
          <w:b/>
          <w:bCs/>
        </w:rPr>
      </w:pPr>
      <w:r w:rsidRPr="00B37778">
        <w:rPr>
          <w:rFonts w:ascii="Arial" w:hAnsi="Arial" w:cs="Arial"/>
          <w:b/>
          <w:bCs/>
        </w:rPr>
        <w:t xml:space="preserve">Exclusion </w:t>
      </w:r>
      <w:r w:rsidR="00DE4ABB" w:rsidRPr="00B37778">
        <w:rPr>
          <w:rFonts w:ascii="Arial" w:hAnsi="Arial" w:cs="Arial"/>
          <w:b/>
          <w:bCs/>
        </w:rPr>
        <w:t>F</w:t>
      </w:r>
      <w:r w:rsidRPr="00B37778">
        <w:rPr>
          <w:rFonts w:ascii="Arial" w:hAnsi="Arial" w:cs="Arial"/>
          <w:b/>
          <w:bCs/>
        </w:rPr>
        <w:t>requency</w:t>
      </w:r>
      <w:r w:rsidR="003C0773" w:rsidRPr="00B37778">
        <w:rPr>
          <w:rFonts w:ascii="Arial" w:hAnsi="Arial" w:cs="Arial"/>
          <w:b/>
          <w:bCs/>
        </w:rPr>
        <w:t xml:space="preserve"> </w:t>
      </w:r>
    </w:p>
    <w:p w14:paraId="1ADA255D" w14:textId="77777777" w:rsidR="00EA7AC8" w:rsidRPr="00BE6C20" w:rsidRDefault="00EA7AC8" w:rsidP="00B37778">
      <w:pPr>
        <w:pStyle w:val="ListParagraph"/>
        <w:numPr>
          <w:ilvl w:val="2"/>
          <w:numId w:val="6"/>
        </w:numPr>
        <w:rPr>
          <w:rFonts w:ascii="Arial" w:hAnsi="Arial" w:cs="Arial"/>
          <w:iCs/>
        </w:rPr>
      </w:pPr>
      <w:r>
        <w:rPr>
          <w:rFonts w:ascii="Arial" w:hAnsi="Arial" w:cs="Arial"/>
          <w:iCs/>
        </w:rPr>
        <w:t>Not yet complete, expected August 2024</w:t>
      </w:r>
    </w:p>
    <w:p w14:paraId="52227F81" w14:textId="77777777" w:rsidR="00EA7AC8" w:rsidRPr="00A708D6" w:rsidRDefault="00EA7AC8" w:rsidP="00EA7AC8">
      <w:pPr>
        <w:pStyle w:val="ListParagraph"/>
        <w:ind w:left="1890"/>
        <w:rPr>
          <w:rFonts w:ascii="Arial" w:hAnsi="Arial" w:cs="Arial"/>
        </w:rPr>
      </w:pPr>
    </w:p>
    <w:p w14:paraId="300A600D" w14:textId="77777777" w:rsidR="00B37778" w:rsidRDefault="00ED5E4C" w:rsidP="00B37778">
      <w:pPr>
        <w:pStyle w:val="ListParagraph"/>
        <w:numPr>
          <w:ilvl w:val="1"/>
          <w:numId w:val="6"/>
        </w:numPr>
        <w:spacing w:after="0" w:line="240" w:lineRule="auto"/>
        <w:ind w:left="1890"/>
        <w:rPr>
          <w:rFonts w:ascii="Arial" w:hAnsi="Arial" w:cs="Arial"/>
          <w:b/>
          <w:bCs/>
        </w:rPr>
      </w:pPr>
      <w:r w:rsidRPr="00B37778">
        <w:rPr>
          <w:rFonts w:ascii="Arial" w:hAnsi="Arial" w:cs="Arial"/>
          <w:b/>
          <w:bCs/>
        </w:rPr>
        <w:t xml:space="preserve">What were the minimum sample sizes used for reliability results? </w:t>
      </w:r>
    </w:p>
    <w:p w14:paraId="020C0F4C" w14:textId="0819146A" w:rsidR="00EA7AC8" w:rsidRPr="00B37778" w:rsidRDefault="00EA7AC8" w:rsidP="00B37778">
      <w:pPr>
        <w:pStyle w:val="ListParagraph"/>
        <w:numPr>
          <w:ilvl w:val="2"/>
          <w:numId w:val="6"/>
        </w:numPr>
        <w:spacing w:after="0" w:line="360" w:lineRule="auto"/>
        <w:rPr>
          <w:rFonts w:ascii="Arial" w:hAnsi="Arial" w:cs="Arial"/>
          <w:b/>
          <w:bCs/>
        </w:rPr>
      </w:pPr>
      <w:r w:rsidRPr="00B37778">
        <w:rPr>
          <w:rFonts w:ascii="Arial" w:hAnsi="Arial" w:cs="Arial"/>
          <w:iCs/>
        </w:rPr>
        <w:t>Not yet complete, expected August 2024</w:t>
      </w:r>
    </w:p>
    <w:p w14:paraId="3704181E" w14:textId="23B80F9E" w:rsidR="00ED5E4C" w:rsidRPr="00B37778" w:rsidRDefault="00ED5E4C" w:rsidP="003811D9">
      <w:pPr>
        <w:pStyle w:val="ListParagraph"/>
        <w:numPr>
          <w:ilvl w:val="1"/>
          <w:numId w:val="10"/>
        </w:numPr>
        <w:rPr>
          <w:rFonts w:ascii="Arial" w:hAnsi="Arial" w:cs="Arial"/>
          <w:b/>
          <w:bCs/>
          <w:iCs/>
        </w:rPr>
      </w:pPr>
      <w:r w:rsidRPr="00B37778">
        <w:rPr>
          <w:rFonts w:ascii="Arial" w:hAnsi="Arial" w:cs="Arial"/>
          <w:b/>
          <w:bCs/>
          <w:iCs/>
        </w:rPr>
        <w:t>Other Information</w:t>
      </w:r>
    </w:p>
    <w:p w14:paraId="0A43D432" w14:textId="77777777" w:rsidR="00B37778" w:rsidRDefault="00ED5E4C" w:rsidP="00B37778">
      <w:pPr>
        <w:pStyle w:val="ListParagraph"/>
        <w:numPr>
          <w:ilvl w:val="0"/>
          <w:numId w:val="11"/>
        </w:numPr>
        <w:ind w:left="1890"/>
        <w:rPr>
          <w:rFonts w:ascii="Arial" w:hAnsi="Arial" w:cs="Arial"/>
          <w:b/>
          <w:bCs/>
          <w:iCs/>
        </w:rPr>
      </w:pPr>
      <w:r w:rsidRPr="00B37778">
        <w:rPr>
          <w:rFonts w:ascii="Arial" w:hAnsi="Arial" w:cs="Arial"/>
          <w:b/>
          <w:bCs/>
          <w:iCs/>
        </w:rPr>
        <w:t xml:space="preserve">Is it risk adjusted? </w:t>
      </w:r>
      <w:r w:rsidR="008B53D3" w:rsidRPr="00B37778">
        <w:rPr>
          <w:rFonts w:ascii="Arial" w:hAnsi="Arial" w:cs="Arial"/>
          <w:b/>
          <w:bCs/>
          <w:iCs/>
        </w:rPr>
        <w:t xml:space="preserve"> </w:t>
      </w:r>
    </w:p>
    <w:p w14:paraId="615F0033" w14:textId="5AABC224" w:rsidR="004419BE" w:rsidRPr="00B37778" w:rsidRDefault="008B53D3" w:rsidP="00B37778">
      <w:pPr>
        <w:pStyle w:val="ListParagraph"/>
        <w:numPr>
          <w:ilvl w:val="1"/>
          <w:numId w:val="11"/>
        </w:numPr>
        <w:rPr>
          <w:rFonts w:ascii="Arial" w:hAnsi="Arial" w:cs="Arial"/>
          <w:b/>
          <w:bCs/>
          <w:iCs/>
        </w:rPr>
      </w:pPr>
      <w:r w:rsidRPr="00B37778">
        <w:rPr>
          <w:rFonts w:ascii="Arial" w:hAnsi="Arial" w:cs="Arial"/>
          <w:iCs/>
        </w:rPr>
        <w:t xml:space="preserve">No, the measure is not risk adjusted. </w:t>
      </w:r>
    </w:p>
    <w:p w14:paraId="6AAC0F9E" w14:textId="77777777" w:rsidR="00B37778" w:rsidRDefault="00B37778" w:rsidP="004419BE">
      <w:pPr>
        <w:pStyle w:val="ListParagraph"/>
        <w:ind w:left="1890"/>
        <w:rPr>
          <w:rFonts w:ascii="Arial" w:hAnsi="Arial" w:cs="Arial"/>
          <w:iCs/>
        </w:rPr>
      </w:pPr>
    </w:p>
    <w:p w14:paraId="009DA5BF" w14:textId="77777777" w:rsidR="00AB28CF" w:rsidRPr="00B37778" w:rsidRDefault="00ED5E4C" w:rsidP="003811D9">
      <w:pPr>
        <w:pStyle w:val="ListParagraph"/>
        <w:numPr>
          <w:ilvl w:val="0"/>
          <w:numId w:val="11"/>
        </w:numPr>
        <w:ind w:left="1890"/>
        <w:rPr>
          <w:rFonts w:ascii="Arial" w:hAnsi="Arial" w:cs="Arial"/>
          <w:b/>
          <w:bCs/>
          <w:iCs/>
        </w:rPr>
      </w:pPr>
      <w:r w:rsidRPr="00B37778">
        <w:rPr>
          <w:rFonts w:ascii="Arial" w:hAnsi="Arial" w:cs="Arial"/>
          <w:b/>
          <w:bCs/>
          <w:iCs/>
        </w:rPr>
        <w:t>What benchmarking information is available?</w:t>
      </w:r>
      <w:r w:rsidR="00AB28CF" w:rsidRPr="00B37778">
        <w:rPr>
          <w:rFonts w:ascii="Arial" w:hAnsi="Arial" w:cs="Arial"/>
          <w:b/>
          <w:bCs/>
          <w:iCs/>
        </w:rPr>
        <w:t xml:space="preserve"> </w:t>
      </w:r>
    </w:p>
    <w:p w14:paraId="24CB04F2" w14:textId="013F9E04" w:rsidR="00ED5E4C" w:rsidRPr="00A708D6" w:rsidRDefault="00AB28CF" w:rsidP="00AB28CF">
      <w:pPr>
        <w:pStyle w:val="ListParagraph"/>
        <w:numPr>
          <w:ilvl w:val="1"/>
          <w:numId w:val="11"/>
        </w:numPr>
        <w:rPr>
          <w:rFonts w:ascii="Arial" w:hAnsi="Arial" w:cs="Arial"/>
          <w:iCs/>
        </w:rPr>
      </w:pPr>
      <w:r>
        <w:rPr>
          <w:rFonts w:ascii="Arial" w:hAnsi="Arial" w:cs="Arial"/>
          <w:iCs/>
        </w:rPr>
        <w:t>None at this time</w:t>
      </w:r>
    </w:p>
    <w:p w14:paraId="2819664E" w14:textId="77777777" w:rsidR="004419BE" w:rsidRDefault="004419BE" w:rsidP="004419BE">
      <w:pPr>
        <w:pStyle w:val="ListParagraph"/>
        <w:ind w:left="1890"/>
        <w:rPr>
          <w:rFonts w:ascii="Arial" w:hAnsi="Arial" w:cs="Arial"/>
          <w:iCs/>
        </w:rPr>
      </w:pPr>
    </w:p>
    <w:p w14:paraId="5CB83FC6" w14:textId="77777777" w:rsidR="00B37778" w:rsidRDefault="00ED5E4C" w:rsidP="00B37778">
      <w:pPr>
        <w:pStyle w:val="ListParagraph"/>
        <w:numPr>
          <w:ilvl w:val="0"/>
          <w:numId w:val="11"/>
        </w:numPr>
        <w:ind w:left="1890"/>
        <w:rPr>
          <w:rFonts w:ascii="Arial" w:hAnsi="Arial" w:cs="Arial"/>
          <w:b/>
          <w:bCs/>
          <w:iCs/>
        </w:rPr>
      </w:pPr>
      <w:r w:rsidRPr="00B37778">
        <w:rPr>
          <w:rFonts w:ascii="Arial" w:hAnsi="Arial" w:cs="Arial"/>
          <w:b/>
          <w:bCs/>
          <w:iCs/>
        </w:rPr>
        <w:t>Collection Type: Specify the data collection type.</w:t>
      </w:r>
    </w:p>
    <w:p w14:paraId="1B897343" w14:textId="6DD9EF25" w:rsidR="00ED5E4C" w:rsidRPr="00B37778" w:rsidRDefault="00DF72CD" w:rsidP="00B37778">
      <w:pPr>
        <w:pStyle w:val="ListParagraph"/>
        <w:numPr>
          <w:ilvl w:val="1"/>
          <w:numId w:val="11"/>
        </w:numPr>
        <w:rPr>
          <w:rFonts w:ascii="Arial" w:hAnsi="Arial" w:cs="Arial"/>
          <w:b/>
          <w:bCs/>
          <w:iCs/>
        </w:rPr>
      </w:pPr>
      <w:r w:rsidRPr="00B37778">
        <w:rPr>
          <w:rFonts w:ascii="Arial" w:hAnsi="Arial" w:cs="Arial"/>
          <w:iCs/>
        </w:rPr>
        <w:t>ALL data elements are in defined fields in electronic sources</w:t>
      </w:r>
    </w:p>
    <w:p w14:paraId="6AAB9B07" w14:textId="77777777" w:rsidR="004419BE" w:rsidRDefault="004419BE" w:rsidP="004419BE">
      <w:pPr>
        <w:pStyle w:val="ListParagraph"/>
        <w:ind w:left="1890"/>
        <w:rPr>
          <w:rFonts w:ascii="Arial" w:hAnsi="Arial" w:cs="Arial"/>
          <w:iCs/>
        </w:rPr>
      </w:pPr>
    </w:p>
    <w:p w14:paraId="1EDB6D7E" w14:textId="17D1E785" w:rsidR="002A6F41" w:rsidRPr="00B37778" w:rsidRDefault="002A6F41" w:rsidP="003811D9">
      <w:pPr>
        <w:pStyle w:val="ListParagraph"/>
        <w:numPr>
          <w:ilvl w:val="0"/>
          <w:numId w:val="11"/>
        </w:numPr>
        <w:ind w:left="1890"/>
        <w:rPr>
          <w:rFonts w:ascii="Arial" w:hAnsi="Arial" w:cs="Arial"/>
          <w:b/>
          <w:bCs/>
          <w:iCs/>
        </w:rPr>
      </w:pPr>
      <w:r w:rsidRPr="00B37778">
        <w:rPr>
          <w:rFonts w:ascii="Arial" w:hAnsi="Arial" w:cs="Arial"/>
          <w:b/>
          <w:bCs/>
          <w:iCs/>
        </w:rPr>
        <w:t xml:space="preserve">Specify </w:t>
      </w:r>
      <w:r w:rsidR="00D60F1E" w:rsidRPr="00B37778">
        <w:rPr>
          <w:rFonts w:ascii="Arial" w:hAnsi="Arial" w:cs="Arial"/>
          <w:b/>
          <w:bCs/>
          <w:iCs/>
        </w:rPr>
        <w:t xml:space="preserve">measure </w:t>
      </w:r>
      <w:r w:rsidRPr="00B37778">
        <w:rPr>
          <w:rFonts w:ascii="Arial" w:hAnsi="Arial" w:cs="Arial"/>
          <w:b/>
          <w:bCs/>
          <w:iCs/>
        </w:rPr>
        <w:t>stage of development</w:t>
      </w:r>
      <w:r w:rsidR="00D60F1E" w:rsidRPr="00B37778">
        <w:rPr>
          <w:rFonts w:ascii="Arial" w:hAnsi="Arial" w:cs="Arial"/>
          <w:b/>
          <w:bCs/>
          <w:iCs/>
        </w:rPr>
        <w:t>.</w:t>
      </w:r>
    </w:p>
    <w:p w14:paraId="11313FE7" w14:textId="253FA05B" w:rsidR="00AB28CF" w:rsidRDefault="00AB28CF" w:rsidP="00AB28CF">
      <w:pPr>
        <w:pStyle w:val="ListParagraph"/>
        <w:numPr>
          <w:ilvl w:val="1"/>
          <w:numId w:val="11"/>
        </w:numPr>
        <w:rPr>
          <w:rFonts w:ascii="Arial" w:hAnsi="Arial" w:cs="Arial"/>
          <w:iCs/>
        </w:rPr>
      </w:pPr>
      <w:r>
        <w:rPr>
          <w:rFonts w:ascii="Arial" w:hAnsi="Arial" w:cs="Arial"/>
          <w:iCs/>
        </w:rPr>
        <w:t>Testing</w:t>
      </w:r>
      <w:r w:rsidR="00B37778">
        <w:rPr>
          <w:rFonts w:ascii="Arial" w:hAnsi="Arial" w:cs="Arial"/>
          <w:iCs/>
        </w:rPr>
        <w:t xml:space="preserve"> stage</w:t>
      </w:r>
    </w:p>
    <w:p w14:paraId="40D0DF5A" w14:textId="77777777" w:rsidR="004419BE" w:rsidRDefault="004419BE" w:rsidP="004419BE">
      <w:pPr>
        <w:pStyle w:val="ListParagraph"/>
        <w:ind w:left="1890"/>
        <w:rPr>
          <w:rFonts w:ascii="Arial" w:hAnsi="Arial" w:cs="Arial"/>
          <w:iCs/>
          <w:highlight w:val="lightGray"/>
        </w:rPr>
      </w:pPr>
    </w:p>
    <w:p w14:paraId="476E0CB5" w14:textId="49403F80" w:rsidR="00D86E37" w:rsidRPr="004419BE" w:rsidRDefault="001359DA" w:rsidP="003811D9">
      <w:pPr>
        <w:pStyle w:val="ListParagraph"/>
        <w:numPr>
          <w:ilvl w:val="0"/>
          <w:numId w:val="11"/>
        </w:numPr>
        <w:ind w:left="1890"/>
        <w:rPr>
          <w:rFonts w:ascii="Arial" w:hAnsi="Arial" w:cs="Arial"/>
          <w:iCs/>
          <w:highlight w:val="lightGray"/>
        </w:rPr>
      </w:pPr>
      <w:r w:rsidRPr="004419BE">
        <w:rPr>
          <w:rFonts w:ascii="Arial" w:hAnsi="Arial" w:cs="Arial"/>
          <w:iCs/>
          <w:highlight w:val="lightGray"/>
        </w:rPr>
        <w:t>For Patient Reported Outcome Performance Measures</w:t>
      </w:r>
      <w:r w:rsidR="00D60F1E" w:rsidRPr="004419BE">
        <w:rPr>
          <w:rFonts w:ascii="Arial" w:hAnsi="Arial" w:cs="Arial"/>
          <w:iCs/>
          <w:highlight w:val="lightGray"/>
        </w:rPr>
        <w:t>:</w:t>
      </w:r>
    </w:p>
    <w:p w14:paraId="248E770F" w14:textId="4B80D05F" w:rsidR="00D920F0" w:rsidRPr="004419BE" w:rsidRDefault="00090865" w:rsidP="001F1DB8">
      <w:pPr>
        <w:pStyle w:val="ListParagraph"/>
        <w:numPr>
          <w:ilvl w:val="1"/>
          <w:numId w:val="13"/>
        </w:numPr>
        <w:rPr>
          <w:rFonts w:ascii="Arial" w:hAnsi="Arial" w:cs="Arial"/>
          <w:highlight w:val="lightGray"/>
        </w:rPr>
      </w:pPr>
      <w:r w:rsidRPr="004419BE">
        <w:rPr>
          <w:rFonts w:ascii="Arial" w:hAnsi="Arial" w:cs="Arial"/>
          <w:iCs/>
          <w:highlight w:val="lightGray"/>
        </w:rPr>
        <w:t>T</w:t>
      </w:r>
      <w:r w:rsidR="00CE6DE8" w:rsidRPr="004419BE">
        <w:rPr>
          <w:rFonts w:ascii="Arial" w:hAnsi="Arial" w:cs="Arial"/>
          <w:iCs/>
          <w:highlight w:val="lightGray"/>
        </w:rPr>
        <w:t>he survey or tool has been tested</w:t>
      </w:r>
      <w:r w:rsidR="00D86E37" w:rsidRPr="004419BE">
        <w:rPr>
          <w:rFonts w:ascii="Arial" w:hAnsi="Arial" w:cs="Arial"/>
          <w:iCs/>
          <w:highlight w:val="lightGray"/>
        </w:rPr>
        <w:t xml:space="preserve"> and </w:t>
      </w:r>
      <w:r w:rsidR="00D86D62" w:rsidRPr="004419BE">
        <w:rPr>
          <w:rFonts w:ascii="Arial" w:hAnsi="Arial" w:cs="Arial"/>
          <w:iCs/>
          <w:highlight w:val="lightGray"/>
        </w:rPr>
        <w:t>doesn’t</w:t>
      </w:r>
      <w:r w:rsidR="00D86E37" w:rsidRPr="004419BE">
        <w:rPr>
          <w:rFonts w:ascii="Arial" w:hAnsi="Arial" w:cs="Arial"/>
          <w:iCs/>
          <w:highlight w:val="lightGray"/>
        </w:rPr>
        <w:t xml:space="preserve"> require </w:t>
      </w:r>
      <w:r w:rsidRPr="004419BE">
        <w:rPr>
          <w:rFonts w:ascii="Arial" w:hAnsi="Arial" w:cs="Arial"/>
          <w:iCs/>
          <w:highlight w:val="lightGray"/>
        </w:rPr>
        <w:t>modifications based on results</w:t>
      </w:r>
      <w:r w:rsidR="00642EFA" w:rsidRPr="004419BE">
        <w:rPr>
          <w:rFonts w:ascii="Arial" w:hAnsi="Arial" w:cs="Arial"/>
          <w:iCs/>
          <w:highlight w:val="lightGray"/>
        </w:rPr>
        <w:t>?</w:t>
      </w:r>
    </w:p>
    <w:p w14:paraId="03177F6D" w14:textId="27C69977" w:rsidR="00434691" w:rsidRPr="001F1DB8" w:rsidRDefault="00090865" w:rsidP="001F1DB8">
      <w:pPr>
        <w:pStyle w:val="ListParagraph"/>
        <w:numPr>
          <w:ilvl w:val="1"/>
          <w:numId w:val="13"/>
        </w:numPr>
        <w:contextualSpacing w:val="0"/>
        <w:rPr>
          <w:rFonts w:ascii="Arial" w:hAnsi="Arial" w:cs="Arial"/>
          <w:iCs/>
        </w:rPr>
      </w:pPr>
      <w:r w:rsidRPr="004419BE">
        <w:rPr>
          <w:rFonts w:ascii="Arial" w:hAnsi="Arial" w:cs="Arial"/>
          <w:highlight w:val="lightGray"/>
        </w:rPr>
        <w:t>Patient/encounter level testing for each critical data elemen</w:t>
      </w:r>
      <w:r w:rsidR="00642EFA" w:rsidRPr="004419BE">
        <w:rPr>
          <w:rFonts w:ascii="Arial" w:hAnsi="Arial" w:cs="Arial"/>
          <w:highlight w:val="lightGray"/>
        </w:rPr>
        <w:t>t</w:t>
      </w:r>
      <w:r w:rsidR="00A85098" w:rsidRPr="004419BE">
        <w:rPr>
          <w:rFonts w:ascii="Arial" w:hAnsi="Arial" w:cs="Arial"/>
          <w:highlight w:val="lightGray"/>
        </w:rPr>
        <w:t xml:space="preserve"> </w:t>
      </w:r>
      <w:r w:rsidR="00D86D62" w:rsidRPr="004419BE">
        <w:rPr>
          <w:rFonts w:ascii="Arial" w:hAnsi="Arial" w:cs="Arial"/>
          <w:highlight w:val="lightGray"/>
        </w:rPr>
        <w:t>doesn’t</w:t>
      </w:r>
      <w:r w:rsidR="00D27141" w:rsidRPr="004419BE">
        <w:rPr>
          <w:rFonts w:ascii="Arial" w:hAnsi="Arial" w:cs="Arial"/>
          <w:highlight w:val="lightGray"/>
        </w:rPr>
        <w:t xml:space="preserve"> require</w:t>
      </w:r>
      <w:r w:rsidR="00A85098" w:rsidRPr="004419BE">
        <w:rPr>
          <w:rFonts w:ascii="Arial" w:hAnsi="Arial" w:cs="Arial"/>
          <w:highlight w:val="lightGray"/>
        </w:rPr>
        <w:t xml:space="preserve"> changes to the tool base on the results</w:t>
      </w:r>
      <w:r w:rsidR="00642EFA" w:rsidRPr="004419BE">
        <w:rPr>
          <w:rFonts w:ascii="Arial" w:hAnsi="Arial" w:cs="Arial"/>
          <w:highlight w:val="lightGray"/>
        </w:rPr>
        <w:t>?</w:t>
      </w:r>
      <w:r w:rsidRPr="00D920F0">
        <w:rPr>
          <w:rFonts w:ascii="Arial" w:hAnsi="Arial" w:cs="Arial"/>
        </w:rPr>
        <w:t xml:space="preserve"> </w:t>
      </w:r>
    </w:p>
    <w:p w14:paraId="378020E9" w14:textId="77777777" w:rsidR="00ED5E4C" w:rsidRPr="005D6A32" w:rsidRDefault="00ED5E4C" w:rsidP="00ED5E4C">
      <w:pPr>
        <w:pStyle w:val="ListParagraph"/>
        <w:numPr>
          <w:ilvl w:val="0"/>
          <w:numId w:val="1"/>
        </w:numPr>
      </w:pPr>
      <w:r w:rsidRPr="005D6A32">
        <w:rPr>
          <w:rFonts w:ascii="Arial" w:hAnsi="Arial" w:cs="Arial"/>
          <w:b/>
        </w:rPr>
        <w:t>Endorsement</w:t>
      </w:r>
    </w:p>
    <w:p w14:paraId="497B59D9" w14:textId="62AE616A" w:rsidR="00ED5E4C" w:rsidRPr="00B37778" w:rsidRDefault="00ED5E4C" w:rsidP="00ED5E4C">
      <w:pPr>
        <w:pStyle w:val="ListParagraph"/>
        <w:numPr>
          <w:ilvl w:val="0"/>
          <w:numId w:val="5"/>
        </w:numPr>
        <w:contextualSpacing w:val="0"/>
        <w:rPr>
          <w:rFonts w:ascii="Arial" w:hAnsi="Arial" w:cs="Arial"/>
          <w:b/>
          <w:bCs/>
          <w:iCs/>
        </w:rPr>
      </w:pPr>
      <w:r w:rsidRPr="00B37778">
        <w:rPr>
          <w:rFonts w:ascii="Arial" w:hAnsi="Arial" w:cs="Arial"/>
          <w:b/>
          <w:bCs/>
          <w:iCs/>
        </w:rPr>
        <w:t>Provide</w:t>
      </w:r>
      <w:r w:rsidR="00E6558C" w:rsidRPr="00B37778">
        <w:rPr>
          <w:rFonts w:ascii="Arial" w:hAnsi="Arial" w:cs="Arial"/>
          <w:b/>
          <w:bCs/>
          <w:iCs/>
        </w:rPr>
        <w:t xml:space="preserve"> the</w:t>
      </w:r>
      <w:r w:rsidRPr="00B37778">
        <w:rPr>
          <w:rFonts w:ascii="Arial" w:hAnsi="Arial" w:cs="Arial"/>
          <w:b/>
          <w:bCs/>
          <w:iCs/>
        </w:rPr>
        <w:t xml:space="preserve"> </w:t>
      </w:r>
      <w:r w:rsidR="007E69C1" w:rsidRPr="00B37778">
        <w:rPr>
          <w:rFonts w:ascii="Arial" w:hAnsi="Arial" w:cs="Arial"/>
          <w:b/>
          <w:bCs/>
          <w:iCs/>
        </w:rPr>
        <w:t xml:space="preserve">Consensus-Based Entity </w:t>
      </w:r>
      <w:r w:rsidR="000E03D9" w:rsidRPr="00B37778">
        <w:rPr>
          <w:rFonts w:ascii="Arial" w:hAnsi="Arial" w:cs="Arial"/>
          <w:b/>
          <w:bCs/>
          <w:iCs/>
        </w:rPr>
        <w:t xml:space="preserve">(CBE) </w:t>
      </w:r>
      <w:r w:rsidR="000E0DC9" w:rsidRPr="00B37778">
        <w:rPr>
          <w:rFonts w:ascii="Arial" w:hAnsi="Arial" w:cs="Arial"/>
          <w:b/>
          <w:bCs/>
        </w:rPr>
        <w:t xml:space="preserve">(i.e., Partnership for Quality Measures (PQM)) </w:t>
      </w:r>
      <w:r w:rsidRPr="00B37778">
        <w:rPr>
          <w:rFonts w:ascii="Arial" w:hAnsi="Arial" w:cs="Arial"/>
          <w:b/>
          <w:bCs/>
          <w:iCs/>
        </w:rPr>
        <w:t xml:space="preserve">endorsement status (and </w:t>
      </w:r>
      <w:r w:rsidR="00E917E1" w:rsidRPr="00B37778">
        <w:rPr>
          <w:rFonts w:ascii="Arial" w:hAnsi="Arial" w:cs="Arial"/>
          <w:b/>
          <w:bCs/>
          <w:iCs/>
        </w:rPr>
        <w:t>CBE</w:t>
      </w:r>
      <w:r w:rsidR="00CB45B2" w:rsidRPr="00B37778">
        <w:rPr>
          <w:rFonts w:ascii="Arial" w:hAnsi="Arial" w:cs="Arial"/>
          <w:b/>
          <w:bCs/>
          <w:iCs/>
        </w:rPr>
        <w:t xml:space="preserve"> ID</w:t>
      </w:r>
      <w:r w:rsidRPr="00B37778">
        <w:rPr>
          <w:rFonts w:ascii="Arial" w:hAnsi="Arial" w:cs="Arial"/>
          <w:b/>
          <w:bCs/>
          <w:iCs/>
        </w:rPr>
        <w:t>) and/or other endorsing body</w:t>
      </w:r>
      <w:r w:rsidR="000E0DC9" w:rsidRPr="00B37778">
        <w:rPr>
          <w:rFonts w:ascii="Arial" w:hAnsi="Arial" w:cs="Arial"/>
          <w:b/>
          <w:bCs/>
          <w:iCs/>
        </w:rPr>
        <w:t xml:space="preserve">. </w:t>
      </w:r>
      <w:r w:rsidRPr="00B37778">
        <w:rPr>
          <w:rFonts w:ascii="Arial" w:hAnsi="Arial" w:cs="Arial"/>
          <w:b/>
          <w:bCs/>
          <w:iCs/>
        </w:rPr>
        <w:t xml:space="preserve">If </w:t>
      </w:r>
      <w:r w:rsidR="00DE4ABB" w:rsidRPr="00B37778">
        <w:rPr>
          <w:rFonts w:ascii="Arial" w:hAnsi="Arial" w:cs="Arial"/>
          <w:b/>
          <w:bCs/>
          <w:iCs/>
        </w:rPr>
        <w:t xml:space="preserve">the </w:t>
      </w:r>
      <w:r w:rsidRPr="00B37778">
        <w:rPr>
          <w:rFonts w:ascii="Arial" w:hAnsi="Arial" w:cs="Arial"/>
          <w:b/>
          <w:bCs/>
          <w:iCs/>
        </w:rPr>
        <w:t>measure is only endorsed for paper records, please note endorsement for only the data source being submitted</w:t>
      </w:r>
      <w:r w:rsidR="00DE4ABB" w:rsidRPr="00B37778">
        <w:rPr>
          <w:rFonts w:ascii="Arial" w:hAnsi="Arial" w:cs="Arial"/>
          <w:b/>
          <w:bCs/>
          <w:iCs/>
        </w:rPr>
        <w:t>.</w:t>
      </w:r>
    </w:p>
    <w:p w14:paraId="561C3F87" w14:textId="3BECE677" w:rsidR="00AD62F8" w:rsidRPr="003811D9" w:rsidRDefault="00AD62F8" w:rsidP="007C43DA">
      <w:pPr>
        <w:pStyle w:val="ListParagraph"/>
        <w:ind w:left="1440"/>
        <w:contextualSpacing w:val="0"/>
        <w:rPr>
          <w:rFonts w:ascii="Arial" w:hAnsi="Arial" w:cs="Arial"/>
          <w:iCs/>
        </w:rPr>
      </w:pPr>
      <w:r>
        <w:rPr>
          <w:rFonts w:ascii="Arial" w:hAnsi="Arial" w:cs="Arial"/>
          <w:iCs/>
        </w:rPr>
        <w:t xml:space="preserve">The measure has not been </w:t>
      </w:r>
      <w:r w:rsidR="00E72444">
        <w:rPr>
          <w:rFonts w:ascii="Arial" w:hAnsi="Arial" w:cs="Arial"/>
          <w:iCs/>
        </w:rPr>
        <w:t xml:space="preserve">submitted </w:t>
      </w:r>
      <w:r w:rsidR="007C43DA">
        <w:rPr>
          <w:rFonts w:ascii="Arial" w:hAnsi="Arial" w:cs="Arial"/>
          <w:iCs/>
        </w:rPr>
        <w:t>for CBE Endorsement yet.</w:t>
      </w:r>
    </w:p>
    <w:p w14:paraId="1C32A417" w14:textId="77777777" w:rsidR="00ED5E4C" w:rsidRPr="005D6A32" w:rsidRDefault="00ED5E4C" w:rsidP="00ED5E4C">
      <w:pPr>
        <w:pStyle w:val="ListParagraph"/>
        <w:numPr>
          <w:ilvl w:val="0"/>
          <w:numId w:val="1"/>
        </w:numPr>
        <w:rPr>
          <w:rFonts w:ascii="Arial" w:hAnsi="Arial" w:cs="Arial"/>
          <w:b/>
        </w:rPr>
      </w:pPr>
      <w:r w:rsidRPr="005D6A32">
        <w:rPr>
          <w:rFonts w:ascii="Arial" w:hAnsi="Arial" w:cs="Arial"/>
          <w:b/>
        </w:rPr>
        <w:t>Summary</w:t>
      </w:r>
    </w:p>
    <w:p w14:paraId="5DCDBA0E" w14:textId="4FD62F45" w:rsidR="00ED5E4C" w:rsidRPr="00B37778" w:rsidRDefault="00ED5E4C" w:rsidP="78582C71">
      <w:pPr>
        <w:pStyle w:val="ListParagraph"/>
        <w:numPr>
          <w:ilvl w:val="0"/>
          <w:numId w:val="4"/>
        </w:numPr>
        <w:rPr>
          <w:rFonts w:ascii="Arial" w:hAnsi="Arial" w:cs="Arial"/>
          <w:b/>
          <w:bCs/>
        </w:rPr>
      </w:pPr>
      <w:r w:rsidRPr="00B37778">
        <w:rPr>
          <w:rFonts w:ascii="Arial" w:hAnsi="Arial" w:cs="Arial"/>
          <w:b/>
          <w:bCs/>
        </w:rPr>
        <w:t>Alignment with CMS Meaningful Measures Initiative or MACRA (</w:t>
      </w:r>
      <w:r w:rsidR="008454C5" w:rsidRPr="00B37778">
        <w:rPr>
          <w:rFonts w:ascii="Arial" w:hAnsi="Arial" w:cs="Arial"/>
          <w:b/>
          <w:bCs/>
        </w:rPr>
        <w:t>i</w:t>
      </w:r>
      <w:r w:rsidRPr="00B37778">
        <w:rPr>
          <w:rFonts w:ascii="Arial" w:hAnsi="Arial" w:cs="Arial"/>
          <w:b/>
          <w:bCs/>
        </w:rPr>
        <w:t>f applicable)</w:t>
      </w:r>
      <w:r w:rsidR="001F0309" w:rsidRPr="00B37778">
        <w:rPr>
          <w:rFonts w:ascii="Arial" w:hAnsi="Arial" w:cs="Arial"/>
          <w:b/>
          <w:bCs/>
        </w:rPr>
        <w:t>.</w:t>
      </w:r>
    </w:p>
    <w:p w14:paraId="0820D078" w14:textId="64D8A73A" w:rsidR="00D3662F" w:rsidRPr="00E36056" w:rsidRDefault="00D3662F" w:rsidP="00FB647E">
      <w:pPr>
        <w:pStyle w:val="ListParagraph"/>
        <w:ind w:left="1440"/>
        <w:rPr>
          <w:rFonts w:ascii="Arial" w:hAnsi="Arial" w:cs="Arial"/>
        </w:rPr>
      </w:pPr>
      <w:r>
        <w:rPr>
          <w:rFonts w:ascii="Arial" w:hAnsi="Arial" w:cs="Arial"/>
        </w:rPr>
        <w:t xml:space="preserve">This measure </w:t>
      </w:r>
      <w:r w:rsidR="00EE53FA">
        <w:rPr>
          <w:rFonts w:ascii="Arial" w:hAnsi="Arial" w:cs="Arial"/>
        </w:rPr>
        <w:t>aligns with CMS Meaningful Measures Initia</w:t>
      </w:r>
      <w:r w:rsidR="000A5135">
        <w:rPr>
          <w:rFonts w:ascii="Arial" w:hAnsi="Arial" w:cs="Arial"/>
        </w:rPr>
        <w:t>tive interrelated goals by</w:t>
      </w:r>
      <w:r w:rsidR="00944E53">
        <w:rPr>
          <w:rFonts w:ascii="Arial" w:hAnsi="Arial" w:cs="Arial"/>
        </w:rPr>
        <w:t xml:space="preserve"> </w:t>
      </w:r>
      <w:r w:rsidR="00AB28CF">
        <w:rPr>
          <w:rFonts w:ascii="Arial" w:hAnsi="Arial" w:cs="Arial"/>
        </w:rPr>
        <w:t>improving</w:t>
      </w:r>
      <w:r w:rsidR="000E6C44">
        <w:rPr>
          <w:rFonts w:ascii="Arial" w:hAnsi="Arial" w:cs="Arial"/>
        </w:rPr>
        <w:t xml:space="preserve"> and </w:t>
      </w:r>
      <w:r w:rsidR="002631F8">
        <w:rPr>
          <w:rFonts w:ascii="Arial" w:hAnsi="Arial" w:cs="Arial"/>
        </w:rPr>
        <w:t>transforming</w:t>
      </w:r>
      <w:r w:rsidR="00996E97">
        <w:rPr>
          <w:rFonts w:ascii="Arial" w:hAnsi="Arial" w:cs="Arial"/>
        </w:rPr>
        <w:t xml:space="preserve"> existing measures </w:t>
      </w:r>
      <w:r w:rsidR="002631F8">
        <w:rPr>
          <w:rFonts w:ascii="Arial" w:hAnsi="Arial" w:cs="Arial"/>
        </w:rPr>
        <w:t>in</w:t>
      </w:r>
      <w:r w:rsidR="00944E53">
        <w:rPr>
          <w:rFonts w:ascii="Arial" w:hAnsi="Arial" w:cs="Arial"/>
        </w:rPr>
        <w:t xml:space="preserve">to </w:t>
      </w:r>
      <w:r w:rsidR="000E6C44">
        <w:rPr>
          <w:rFonts w:ascii="Arial" w:hAnsi="Arial" w:cs="Arial"/>
        </w:rPr>
        <w:t xml:space="preserve">fully a </w:t>
      </w:r>
      <w:r w:rsidR="00944E53">
        <w:rPr>
          <w:rFonts w:ascii="Arial" w:hAnsi="Arial" w:cs="Arial"/>
        </w:rPr>
        <w:t xml:space="preserve">digital </w:t>
      </w:r>
      <w:r w:rsidR="00C0395F">
        <w:rPr>
          <w:rFonts w:ascii="Arial" w:hAnsi="Arial" w:cs="Arial"/>
        </w:rPr>
        <w:t>format</w:t>
      </w:r>
      <w:r w:rsidR="00944E53">
        <w:rPr>
          <w:rFonts w:ascii="Arial" w:hAnsi="Arial" w:cs="Arial"/>
        </w:rPr>
        <w:t xml:space="preserve"> </w:t>
      </w:r>
      <w:r w:rsidR="00FB647E">
        <w:rPr>
          <w:rFonts w:ascii="Arial" w:hAnsi="Arial" w:cs="Arial"/>
        </w:rPr>
        <w:t>to</w:t>
      </w:r>
      <w:r w:rsidR="003F485D">
        <w:rPr>
          <w:rFonts w:ascii="Arial" w:hAnsi="Arial" w:cs="Arial"/>
        </w:rPr>
        <w:t xml:space="preserve"> standardi</w:t>
      </w:r>
      <w:r w:rsidR="00996E97">
        <w:rPr>
          <w:rFonts w:ascii="Arial" w:hAnsi="Arial" w:cs="Arial"/>
        </w:rPr>
        <w:t>ze</w:t>
      </w:r>
      <w:r w:rsidR="003F485D">
        <w:rPr>
          <w:rFonts w:ascii="Arial" w:hAnsi="Arial" w:cs="Arial"/>
        </w:rPr>
        <w:t xml:space="preserve"> </w:t>
      </w:r>
      <w:r w:rsidR="002631F8">
        <w:rPr>
          <w:rFonts w:ascii="Arial" w:hAnsi="Arial" w:cs="Arial"/>
        </w:rPr>
        <w:t xml:space="preserve">social needs </w:t>
      </w:r>
      <w:r w:rsidR="003F485D">
        <w:rPr>
          <w:rFonts w:ascii="Arial" w:hAnsi="Arial" w:cs="Arial"/>
        </w:rPr>
        <w:t xml:space="preserve">data collection </w:t>
      </w:r>
      <w:r w:rsidR="00956E20">
        <w:rPr>
          <w:rFonts w:ascii="Arial" w:hAnsi="Arial" w:cs="Arial"/>
        </w:rPr>
        <w:t xml:space="preserve">and </w:t>
      </w:r>
      <w:r w:rsidR="00715B30">
        <w:rPr>
          <w:rFonts w:ascii="Arial" w:hAnsi="Arial" w:cs="Arial"/>
        </w:rPr>
        <w:t>enhance</w:t>
      </w:r>
      <w:r w:rsidR="003F485D">
        <w:rPr>
          <w:rFonts w:ascii="Arial" w:hAnsi="Arial" w:cs="Arial"/>
        </w:rPr>
        <w:t xml:space="preserve"> data analytics</w:t>
      </w:r>
      <w:r w:rsidR="006E69AA">
        <w:rPr>
          <w:rFonts w:ascii="Arial" w:hAnsi="Arial" w:cs="Arial"/>
        </w:rPr>
        <w:t xml:space="preserve">. </w:t>
      </w:r>
      <w:r w:rsidR="00EA4E85">
        <w:rPr>
          <w:rFonts w:ascii="Arial" w:hAnsi="Arial" w:cs="Arial"/>
        </w:rPr>
        <w:t>The</w:t>
      </w:r>
      <w:r w:rsidR="00C0395F" w:rsidRPr="008A01C5">
        <w:rPr>
          <w:rFonts w:ascii="Arial" w:hAnsi="Arial" w:cs="Arial"/>
        </w:rPr>
        <w:t xml:space="preserve"> measure is calculated using data from </w:t>
      </w:r>
      <w:r w:rsidR="00715B30">
        <w:rPr>
          <w:rFonts w:ascii="Arial" w:hAnsi="Arial" w:cs="Arial"/>
        </w:rPr>
        <w:t>electronic health record</w:t>
      </w:r>
      <w:r w:rsidR="00C0395F" w:rsidRPr="008A01C5">
        <w:rPr>
          <w:rFonts w:ascii="Arial" w:hAnsi="Arial" w:cs="Arial"/>
        </w:rPr>
        <w:t>s. Successful completion of the measure requires that eligible clinical settings encode information on screening, diagnoses, and follow-ups into structured data elements in accordance with the United States Core Data for Interoperability (USCDI), a standardized set of health data classes and constituent data elements for nationwide, interoperable health information exchange.</w:t>
      </w:r>
      <w:r w:rsidR="00EA4E85">
        <w:rPr>
          <w:rFonts w:ascii="Arial" w:hAnsi="Arial" w:cs="Arial"/>
        </w:rPr>
        <w:t xml:space="preserve"> The ASN eCQM measure will be FHIR-based to exchange clinical information through application programing interfaces (APIs).</w:t>
      </w:r>
      <w:r w:rsidR="00FB647E">
        <w:rPr>
          <w:rFonts w:ascii="Arial" w:hAnsi="Arial" w:cs="Arial"/>
        </w:rPr>
        <w:t xml:space="preserve"> </w:t>
      </w:r>
      <w:r w:rsidR="006A0A28">
        <w:rPr>
          <w:rFonts w:ascii="Arial" w:hAnsi="Arial" w:cs="Arial"/>
        </w:rPr>
        <w:t>The</w:t>
      </w:r>
      <w:r w:rsidR="006E69AA" w:rsidRPr="00E36056">
        <w:rPr>
          <w:rFonts w:ascii="Arial" w:hAnsi="Arial" w:cs="Arial"/>
        </w:rPr>
        <w:t xml:space="preserve"> </w:t>
      </w:r>
      <w:r w:rsidR="00956E20" w:rsidRPr="00E36056">
        <w:rPr>
          <w:rFonts w:ascii="Arial" w:hAnsi="Arial" w:cs="Arial"/>
        </w:rPr>
        <w:t xml:space="preserve">primary </w:t>
      </w:r>
      <w:r w:rsidR="006E69AA" w:rsidRPr="00E36056">
        <w:rPr>
          <w:rFonts w:ascii="Arial" w:hAnsi="Arial" w:cs="Arial"/>
        </w:rPr>
        <w:t xml:space="preserve">mission of </w:t>
      </w:r>
      <w:r w:rsidR="00956E20" w:rsidRPr="00E36056">
        <w:rPr>
          <w:rFonts w:ascii="Arial" w:hAnsi="Arial" w:cs="Arial"/>
        </w:rPr>
        <w:t xml:space="preserve">the ASN eCQM </w:t>
      </w:r>
      <w:r w:rsidR="006E69AA" w:rsidRPr="00E36056">
        <w:rPr>
          <w:rFonts w:ascii="Arial" w:hAnsi="Arial" w:cs="Arial"/>
        </w:rPr>
        <w:t>measure is t</w:t>
      </w:r>
      <w:r w:rsidR="00D36576" w:rsidRPr="00E36056">
        <w:rPr>
          <w:rFonts w:ascii="Arial" w:hAnsi="Arial" w:cs="Arial"/>
        </w:rPr>
        <w:t xml:space="preserve">o </w:t>
      </w:r>
      <w:r w:rsidR="004C21E9" w:rsidRPr="00E36056">
        <w:rPr>
          <w:rFonts w:ascii="Arial" w:hAnsi="Arial" w:cs="Arial"/>
        </w:rPr>
        <w:t>address</w:t>
      </w:r>
      <w:r w:rsidR="00D36576" w:rsidRPr="00E36056">
        <w:rPr>
          <w:rFonts w:ascii="Arial" w:hAnsi="Arial" w:cs="Arial"/>
        </w:rPr>
        <w:t xml:space="preserve"> social determinants of health (SDOH)</w:t>
      </w:r>
      <w:r w:rsidR="004C21E9" w:rsidRPr="00E36056">
        <w:rPr>
          <w:rFonts w:ascii="Arial" w:hAnsi="Arial" w:cs="Arial"/>
        </w:rPr>
        <w:t xml:space="preserve"> for progress toward health equity</w:t>
      </w:r>
      <w:r w:rsidR="00956E20" w:rsidRPr="00E36056">
        <w:rPr>
          <w:rFonts w:ascii="Arial" w:hAnsi="Arial" w:cs="Arial"/>
        </w:rPr>
        <w:t xml:space="preserve">. </w:t>
      </w:r>
    </w:p>
    <w:p w14:paraId="7E767B8D" w14:textId="77777777" w:rsidR="00D3662F" w:rsidRPr="003811D9" w:rsidRDefault="00D3662F" w:rsidP="00D3662F">
      <w:pPr>
        <w:pStyle w:val="ListParagraph"/>
        <w:ind w:left="1440"/>
        <w:rPr>
          <w:rFonts w:ascii="Arial" w:hAnsi="Arial" w:cs="Arial"/>
        </w:rPr>
      </w:pPr>
    </w:p>
    <w:p w14:paraId="386791AA" w14:textId="4010CF90" w:rsidR="00ED5E4C" w:rsidRPr="00B37778" w:rsidRDefault="00E3420C" w:rsidP="00ED5E4C">
      <w:pPr>
        <w:pStyle w:val="ListParagraph"/>
        <w:numPr>
          <w:ilvl w:val="0"/>
          <w:numId w:val="4"/>
        </w:numPr>
        <w:rPr>
          <w:rFonts w:ascii="Arial" w:hAnsi="Arial" w:cs="Arial"/>
          <w:b/>
          <w:bCs/>
          <w:iCs/>
        </w:rPr>
      </w:pPr>
      <w:r w:rsidRPr="00B37778">
        <w:rPr>
          <w:rFonts w:ascii="Arial" w:hAnsi="Arial" w:cs="Arial"/>
          <w:b/>
          <w:bCs/>
          <w:iCs/>
        </w:rPr>
        <w:t>Relev</w:t>
      </w:r>
      <w:r w:rsidR="00ED5E4C" w:rsidRPr="00B37778">
        <w:rPr>
          <w:rFonts w:ascii="Arial" w:hAnsi="Arial" w:cs="Arial"/>
          <w:b/>
          <w:bCs/>
          <w:iCs/>
        </w:rPr>
        <w:t>ance to MIPS or other CMS programs</w:t>
      </w:r>
      <w:r w:rsidR="001F0309" w:rsidRPr="00B37778">
        <w:rPr>
          <w:rFonts w:ascii="Arial" w:hAnsi="Arial" w:cs="Arial"/>
          <w:b/>
          <w:bCs/>
          <w:iCs/>
        </w:rPr>
        <w:t>.</w:t>
      </w:r>
    </w:p>
    <w:p w14:paraId="259AAEEF" w14:textId="09BB5AD5" w:rsidR="007E6C05" w:rsidRPr="007E6C05" w:rsidRDefault="007E6C05" w:rsidP="007E6C05">
      <w:pPr>
        <w:pStyle w:val="ListParagraph"/>
        <w:ind w:left="1440"/>
        <w:rPr>
          <w:rFonts w:ascii="Arial" w:eastAsia="Times New Roman" w:hAnsi="Arial" w:cs="Arial"/>
        </w:rPr>
      </w:pPr>
      <w:r w:rsidRPr="007E6C05">
        <w:rPr>
          <w:rFonts w:ascii="Arial" w:eastAsia="Times New Roman" w:hAnsi="Arial" w:cs="Arial"/>
        </w:rPr>
        <w:lastRenderedPageBreak/>
        <w:t xml:space="preserve">This measure builds upon the Quality ID #487: Screening for Social Drivers of Health </w:t>
      </w:r>
      <w:proofErr w:type="spellStart"/>
      <w:proofErr w:type="gramStart"/>
      <w:r w:rsidRPr="007E6C05">
        <w:rPr>
          <w:rFonts w:ascii="Arial" w:eastAsia="Times New Roman" w:hAnsi="Arial" w:cs="Arial"/>
        </w:rPr>
        <w:t>mea</w:t>
      </w:r>
      <w:proofErr w:type="spellEnd"/>
      <w:proofErr w:type="gramEnd"/>
      <w:r w:rsidRPr="007E6C05">
        <w:rPr>
          <w:rFonts w:ascii="Arial" w:eastAsia="Times New Roman" w:hAnsi="Arial" w:cs="Arial"/>
        </w:rPr>
        <w:t xml:space="preserve"> This measure builds upon the Quality ID #487: Screening for Social Drivers of Health measure. The ASN eCQM expands this measure population to all ages and limits the social needs categories to housing, food, utilities, and transportation. Additionally, it measures the rate of patients who receive a follow-up action if screened positive in each domain screened.</w:t>
      </w:r>
    </w:p>
    <w:p w14:paraId="3A35C1DE" w14:textId="77777777" w:rsidR="007E6C05" w:rsidRPr="007E6C05" w:rsidRDefault="007E6C05" w:rsidP="007E6C05">
      <w:pPr>
        <w:pStyle w:val="ListParagraph"/>
        <w:ind w:left="1440"/>
        <w:rPr>
          <w:rFonts w:ascii="Arial" w:eastAsia="Times New Roman" w:hAnsi="Arial" w:cs="Arial"/>
        </w:rPr>
      </w:pPr>
    </w:p>
    <w:p w14:paraId="3B5B4095" w14:textId="77777777" w:rsidR="007E6C05" w:rsidRPr="007E6C05" w:rsidRDefault="007E6C05" w:rsidP="00FB4534">
      <w:pPr>
        <w:pStyle w:val="ListParagraph"/>
        <w:ind w:left="1440"/>
        <w:rPr>
          <w:rFonts w:ascii="Arial" w:eastAsia="Times New Roman" w:hAnsi="Arial" w:cs="Arial"/>
        </w:rPr>
      </w:pPr>
      <w:proofErr w:type="gramStart"/>
      <w:r w:rsidRPr="007E6C05">
        <w:rPr>
          <w:rFonts w:ascii="Arial" w:eastAsia="Times New Roman" w:hAnsi="Arial" w:cs="Arial"/>
        </w:rPr>
        <w:t>The measure</w:t>
      </w:r>
      <w:proofErr w:type="gramEnd"/>
      <w:r w:rsidRPr="007E6C05">
        <w:rPr>
          <w:rFonts w:ascii="Arial" w:eastAsia="Times New Roman" w:hAnsi="Arial" w:cs="Arial"/>
        </w:rPr>
        <w:t xml:space="preserve"> #498: Connection to Community Service Provider captures percentage of patient who had contact with a Community Service Provider (CSP) for at least one of their HRSNs within 60 days after screening. The ASN eCQM limits the social needs categories to housing, food, utilities, and transportation and allows for multiple types of follow-up/intervention to occur. Additionally, the follow-up must be completed during the visit and documented within two days.</w:t>
      </w:r>
    </w:p>
    <w:p w14:paraId="36C9734A" w14:textId="77777777" w:rsidR="007E6C05" w:rsidRPr="007E6C05" w:rsidRDefault="007E6C05" w:rsidP="007E6C05">
      <w:pPr>
        <w:pStyle w:val="ListParagraph"/>
        <w:ind w:left="1440"/>
        <w:rPr>
          <w:rFonts w:ascii="Arial" w:eastAsia="Times New Roman" w:hAnsi="Arial" w:cs="Arial"/>
        </w:rPr>
      </w:pPr>
    </w:p>
    <w:p w14:paraId="4E76324B" w14:textId="3A34BD9F" w:rsidR="007E6C05" w:rsidRPr="007E6C05" w:rsidRDefault="007E6C05" w:rsidP="00FB4534">
      <w:pPr>
        <w:pStyle w:val="ListParagraph"/>
        <w:ind w:left="1440"/>
        <w:rPr>
          <w:rFonts w:ascii="Arial" w:eastAsia="Times New Roman" w:hAnsi="Arial" w:cs="Arial"/>
        </w:rPr>
      </w:pPr>
      <w:r w:rsidRPr="007E6C05">
        <w:rPr>
          <w:rFonts w:ascii="Arial" w:eastAsia="Times New Roman" w:hAnsi="Arial" w:cs="Arial"/>
        </w:rPr>
        <w:t>Additionally, the measure population and timing for documentation of assessment and intervention are based upon those utilized in the MIPS Measure #134: Preventive Care and Screening: Screening for Depression and Follow-Up Plan. The ASN eCQM expands this measure population to all ages and limits the social needs categories to housing, food, utilities, and transportation. Additionally, it measures the rate of patients who receive a follow-up action if screened positive in each domain screened.</w:t>
      </w:r>
    </w:p>
    <w:p w14:paraId="27744EF3" w14:textId="77777777" w:rsidR="007E6C05" w:rsidRPr="007E6C05" w:rsidRDefault="007E6C05" w:rsidP="007E6C05">
      <w:pPr>
        <w:pStyle w:val="ListParagraph"/>
        <w:ind w:left="1440"/>
        <w:rPr>
          <w:rFonts w:ascii="Arial" w:eastAsia="Times New Roman" w:hAnsi="Arial" w:cs="Arial"/>
        </w:rPr>
      </w:pPr>
    </w:p>
    <w:p w14:paraId="340582BD" w14:textId="77777777" w:rsidR="007E6C05" w:rsidRPr="007E6C05" w:rsidRDefault="007E6C05" w:rsidP="00FB4534">
      <w:pPr>
        <w:pStyle w:val="ListParagraph"/>
        <w:ind w:left="1440"/>
        <w:rPr>
          <w:rFonts w:ascii="Arial" w:eastAsia="Times New Roman" w:hAnsi="Arial" w:cs="Arial"/>
        </w:rPr>
      </w:pPr>
      <w:proofErr w:type="gramStart"/>
      <w:r w:rsidRPr="007E6C05">
        <w:rPr>
          <w:rFonts w:ascii="Arial" w:eastAsia="Times New Roman" w:hAnsi="Arial" w:cs="Arial"/>
        </w:rPr>
        <w:t>The measure</w:t>
      </w:r>
      <w:proofErr w:type="gramEnd"/>
      <w:r w:rsidRPr="007E6C05">
        <w:rPr>
          <w:rFonts w:ascii="Arial" w:eastAsia="Times New Roman" w:hAnsi="Arial" w:cs="Arial"/>
        </w:rPr>
        <w:t xml:space="preserve"> #498: Connection to Community Service Provider captures percentage of patient who had contact with a Community Service Provider (CSP) for at least one of their HRSNs within 60 days after screening. The ASN eCQM limits the social needs categories to housing, food, utilities, and transportation and allows for multiple types of follow-up/intervention to occur. Additionally, the follow-up must be completed during the visit and documented within two days.</w:t>
      </w:r>
    </w:p>
    <w:p w14:paraId="52756AEB" w14:textId="77777777" w:rsidR="007E6C05" w:rsidRPr="007E6C05" w:rsidRDefault="007E6C05" w:rsidP="00FB4534">
      <w:pPr>
        <w:pStyle w:val="ListParagraph"/>
        <w:ind w:left="1440"/>
        <w:rPr>
          <w:rFonts w:ascii="Arial" w:eastAsia="Times New Roman" w:hAnsi="Arial" w:cs="Arial"/>
        </w:rPr>
      </w:pPr>
    </w:p>
    <w:p w14:paraId="68F95B9B" w14:textId="7D93A68A" w:rsidR="007E6C05" w:rsidRDefault="007E6C05" w:rsidP="00FB4534">
      <w:pPr>
        <w:pStyle w:val="ListParagraph"/>
        <w:ind w:left="1440"/>
        <w:rPr>
          <w:rFonts w:ascii="Arial" w:eastAsia="Times New Roman" w:hAnsi="Arial" w:cs="Arial"/>
        </w:rPr>
      </w:pPr>
      <w:r w:rsidRPr="007E6C05">
        <w:rPr>
          <w:rFonts w:ascii="Arial" w:eastAsia="Times New Roman" w:hAnsi="Arial" w:cs="Arial"/>
        </w:rPr>
        <w:t>Additionally, the measure population and timing for documentation of assessment and intervention are based upon those utilized in the MIPS Measure #134: Preventive Care and Screening: Screening for Depression and Follow-Up Plan.</w:t>
      </w:r>
    </w:p>
    <w:p w14:paraId="234FABF4" w14:textId="77777777" w:rsidR="00E36056" w:rsidRPr="007E6C05" w:rsidRDefault="00E36056" w:rsidP="00FB4534">
      <w:pPr>
        <w:pStyle w:val="ListParagraph"/>
        <w:ind w:left="1440"/>
        <w:rPr>
          <w:rFonts w:ascii="Arial" w:hAnsi="Arial" w:cs="Arial"/>
          <w:iCs/>
        </w:rPr>
      </w:pPr>
    </w:p>
    <w:p w14:paraId="784BF3C8" w14:textId="0E55530E" w:rsidR="00ED5E4C" w:rsidRPr="00DC3D9D" w:rsidRDefault="00ED5E4C" w:rsidP="00ED5E4C">
      <w:pPr>
        <w:pStyle w:val="ListParagraph"/>
        <w:numPr>
          <w:ilvl w:val="0"/>
          <w:numId w:val="4"/>
        </w:numPr>
        <w:rPr>
          <w:rFonts w:ascii="Arial" w:hAnsi="Arial" w:cs="Arial"/>
          <w:b/>
          <w:bCs/>
          <w:iCs/>
        </w:rPr>
      </w:pPr>
      <w:r w:rsidRPr="00DC3D9D">
        <w:rPr>
          <w:rFonts w:ascii="Arial" w:hAnsi="Arial" w:cs="Arial"/>
          <w:b/>
          <w:bCs/>
          <w:iCs/>
        </w:rPr>
        <w:t>Rationale: Use of measure for inclusion in program (specialty society, regional collaborative, other)</w:t>
      </w:r>
      <w:r w:rsidR="001F0309" w:rsidRPr="00DC3D9D">
        <w:rPr>
          <w:rFonts w:ascii="Arial" w:hAnsi="Arial" w:cs="Arial"/>
          <w:b/>
          <w:bCs/>
          <w:iCs/>
        </w:rPr>
        <w:t>.</w:t>
      </w:r>
    </w:p>
    <w:p w14:paraId="10978466" w14:textId="77777777" w:rsidR="00633035" w:rsidRDefault="004B45C0" w:rsidP="00645969">
      <w:pPr>
        <w:pStyle w:val="ListParagraph"/>
        <w:ind w:left="1440"/>
        <w:rPr>
          <w:rFonts w:ascii="Arial" w:hAnsi="Arial" w:cs="Arial"/>
          <w:iCs/>
        </w:rPr>
      </w:pPr>
      <w:r>
        <w:rPr>
          <w:rFonts w:ascii="Arial" w:hAnsi="Arial" w:cs="Arial"/>
          <w:iCs/>
        </w:rPr>
        <w:t xml:space="preserve">Based on the evidence, this </w:t>
      </w:r>
      <w:r w:rsidR="000C1942">
        <w:rPr>
          <w:rFonts w:ascii="Arial" w:hAnsi="Arial" w:cs="Arial"/>
          <w:iCs/>
        </w:rPr>
        <w:t>measure supports a national clinic priority.</w:t>
      </w:r>
      <w:r w:rsidR="00D52DE2">
        <w:rPr>
          <w:rFonts w:ascii="Arial" w:hAnsi="Arial" w:cs="Arial"/>
          <w:iCs/>
        </w:rPr>
        <w:t xml:space="preserve"> </w:t>
      </w:r>
      <w:r w:rsidR="00633035">
        <w:rPr>
          <w:rFonts w:ascii="Arial" w:hAnsi="Arial" w:cs="Arial"/>
        </w:rPr>
        <w:t>The</w:t>
      </w:r>
      <w:r w:rsidR="00633035" w:rsidRPr="008A01C5">
        <w:rPr>
          <w:rFonts w:ascii="Arial" w:hAnsi="Arial" w:cs="Arial"/>
        </w:rPr>
        <w:t xml:space="preserve"> measure requires eligible clinical settings encode information on screening, diagnoses, and follow-ups into structured data elements in accordance with the United States Core Data for Interoperability (USCDI), for nationwide interoperable health information exchange</w:t>
      </w:r>
      <w:r w:rsidR="00633035">
        <w:rPr>
          <w:rFonts w:ascii="Arial" w:hAnsi="Arial" w:cs="Arial"/>
        </w:rPr>
        <w:t xml:space="preserve"> to </w:t>
      </w:r>
      <w:r w:rsidR="00633035">
        <w:rPr>
          <w:rFonts w:ascii="Arial" w:hAnsi="Arial" w:cs="Arial"/>
          <w:iCs/>
        </w:rPr>
        <w:t>support requirements capable of addressing SDOH in policy and practice.</w:t>
      </w:r>
      <w:r w:rsidR="000C1942">
        <w:rPr>
          <w:rFonts w:ascii="Arial" w:hAnsi="Arial" w:cs="Arial"/>
          <w:iCs/>
        </w:rPr>
        <w:t xml:space="preserve"> </w:t>
      </w:r>
    </w:p>
    <w:p w14:paraId="7A74E1B5" w14:textId="77777777" w:rsidR="00633035" w:rsidRDefault="00633035" w:rsidP="00645969">
      <w:pPr>
        <w:pStyle w:val="ListParagraph"/>
        <w:ind w:left="1440"/>
        <w:rPr>
          <w:rFonts w:ascii="Arial" w:hAnsi="Arial" w:cs="Arial"/>
          <w:iCs/>
        </w:rPr>
      </w:pPr>
    </w:p>
    <w:p w14:paraId="51C92987" w14:textId="2CF81D5B" w:rsidR="00645969" w:rsidRPr="007E6C05" w:rsidRDefault="000C1942" w:rsidP="00645969">
      <w:pPr>
        <w:pStyle w:val="ListParagraph"/>
        <w:ind w:left="1440"/>
        <w:rPr>
          <w:rFonts w:ascii="Arial" w:eastAsia="Times New Roman" w:hAnsi="Arial" w:cs="Arial"/>
        </w:rPr>
      </w:pPr>
      <w:r>
        <w:rPr>
          <w:rFonts w:ascii="Arial" w:hAnsi="Arial" w:cs="Arial"/>
          <w:iCs/>
        </w:rPr>
        <w:t xml:space="preserve">The ASN eCQM </w:t>
      </w:r>
      <w:r w:rsidR="00645969" w:rsidRPr="007E6C05">
        <w:rPr>
          <w:rFonts w:ascii="Arial" w:eastAsia="Times New Roman" w:hAnsi="Arial" w:cs="Arial"/>
        </w:rPr>
        <w:t>expands measure population to all ages and limits the social needs categories to housing, food, utilities, and transportation. Additionally, it measures the rate of patients who receive a follow-up action if screened positive in each domain screened.</w:t>
      </w:r>
      <w:r w:rsidR="00D52DE2">
        <w:rPr>
          <w:rFonts w:ascii="Arial" w:hAnsi="Arial" w:cs="Arial"/>
        </w:rPr>
        <w:t xml:space="preserve"> The</w:t>
      </w:r>
      <w:r w:rsidR="00D52DE2" w:rsidRPr="008A01C5">
        <w:rPr>
          <w:rFonts w:ascii="Arial" w:hAnsi="Arial" w:cs="Arial"/>
        </w:rPr>
        <w:t xml:space="preserve"> measure requires that eligible clinical settings encode information on screening, diagnoses, and follow-ups into structured data elements in accordance with the United States Core Data for Interoperability (USCDI), a standardized set of health data classes and constituent data elements for nationwide, interoperable health information exchange.</w:t>
      </w:r>
      <w:r w:rsidR="00D52DE2">
        <w:rPr>
          <w:rFonts w:ascii="Arial" w:hAnsi="Arial" w:cs="Arial"/>
        </w:rPr>
        <w:t xml:space="preserve"> The ASN eCQM measure will be FHIR-based to exchange clinical information through application programing interfaces (APIs). The</w:t>
      </w:r>
      <w:r w:rsidR="00D52DE2" w:rsidRPr="00E36056">
        <w:rPr>
          <w:rFonts w:ascii="Arial" w:hAnsi="Arial" w:cs="Arial"/>
        </w:rPr>
        <w:t xml:space="preserve"> primary mission of the ASN eCQM measure is to address social determinants of health (SDOH) for progress toward health equity.</w:t>
      </w:r>
      <w:r w:rsidR="00CF37EC" w:rsidRPr="00CF37EC">
        <w:rPr>
          <w:rFonts w:ascii="Arial" w:hAnsi="Arial" w:cs="Arial"/>
          <w:iCs/>
        </w:rPr>
        <w:t xml:space="preserve"> </w:t>
      </w:r>
      <w:r w:rsidR="00CF37EC" w:rsidRPr="004220CA">
        <w:rPr>
          <w:rFonts w:ascii="Arial" w:hAnsi="Arial" w:cs="Arial"/>
          <w:iCs/>
        </w:rPr>
        <w:t>In a broad review of professional medical association statements, it was found that across the AAP, AAFP, APA, AMA, ACP, ACC, ACOG, ACEP there were consistent statements on the importance of screening and intervening on SDOH to improve health outcomes and address health inequities</w:t>
      </w:r>
    </w:p>
    <w:p w14:paraId="2B747A81" w14:textId="2D4AF3D0" w:rsidR="00DC3D9D" w:rsidRDefault="00DC3D9D" w:rsidP="00B36EC1">
      <w:pPr>
        <w:pStyle w:val="ListParagraph"/>
        <w:ind w:left="1440"/>
        <w:rPr>
          <w:rFonts w:ascii="Arial" w:hAnsi="Arial" w:cs="Arial"/>
          <w:iCs/>
        </w:rPr>
      </w:pPr>
    </w:p>
    <w:p w14:paraId="0CEFD927" w14:textId="77777777" w:rsidR="004B45C0" w:rsidRPr="00CF37EC" w:rsidRDefault="004B45C0" w:rsidP="00CF37EC">
      <w:pPr>
        <w:rPr>
          <w:rFonts w:ascii="Arial" w:hAnsi="Arial" w:cs="Arial"/>
          <w:iCs/>
        </w:rPr>
      </w:pPr>
    </w:p>
    <w:p w14:paraId="0F0FA447" w14:textId="246902C0" w:rsidR="00CC6F4B" w:rsidRPr="00CF37EC" w:rsidRDefault="00ED5E4C" w:rsidP="00CC6F4B">
      <w:pPr>
        <w:pStyle w:val="ListParagraph"/>
        <w:numPr>
          <w:ilvl w:val="0"/>
          <w:numId w:val="4"/>
        </w:numPr>
        <w:rPr>
          <w:rFonts w:ascii="Arial" w:hAnsi="Arial" w:cs="Arial"/>
          <w:b/>
          <w:bCs/>
          <w:iCs/>
        </w:rPr>
      </w:pPr>
      <w:r w:rsidRPr="00CF37EC">
        <w:rPr>
          <w:rFonts w:ascii="Arial" w:hAnsi="Arial" w:cs="Arial"/>
          <w:b/>
          <w:bCs/>
          <w:iCs/>
        </w:rPr>
        <w:t>Public reporting (if applicable)</w:t>
      </w:r>
      <w:r w:rsidR="001F0309" w:rsidRPr="00CF37EC">
        <w:rPr>
          <w:rFonts w:ascii="Arial" w:hAnsi="Arial" w:cs="Arial"/>
          <w:b/>
          <w:bCs/>
          <w:iCs/>
        </w:rPr>
        <w:t>.</w:t>
      </w:r>
      <w:r w:rsidR="00CC6F4B" w:rsidRPr="00CF37EC">
        <w:rPr>
          <w:rFonts w:ascii="Arial" w:hAnsi="Arial" w:cs="Arial"/>
          <w:b/>
          <w:bCs/>
          <w:iCs/>
        </w:rPr>
        <w:t xml:space="preserve"> </w:t>
      </w:r>
    </w:p>
    <w:p w14:paraId="14D4355F" w14:textId="4C691FF4" w:rsidR="00ED5E4C" w:rsidRDefault="00CC6F4B" w:rsidP="00CC6F4B">
      <w:pPr>
        <w:pStyle w:val="ListParagraph"/>
        <w:numPr>
          <w:ilvl w:val="1"/>
          <w:numId w:val="4"/>
        </w:numPr>
        <w:rPr>
          <w:rFonts w:ascii="Arial" w:hAnsi="Arial" w:cs="Arial"/>
          <w:iCs/>
        </w:rPr>
      </w:pPr>
      <w:r>
        <w:rPr>
          <w:rFonts w:ascii="Arial" w:hAnsi="Arial" w:cs="Arial"/>
          <w:iCs/>
        </w:rPr>
        <w:t>N/A</w:t>
      </w:r>
    </w:p>
    <w:p w14:paraId="35FC31E2" w14:textId="77777777" w:rsidR="00573CBD" w:rsidRPr="003811D9" w:rsidRDefault="00573CBD" w:rsidP="00573CBD">
      <w:pPr>
        <w:pStyle w:val="ListParagraph"/>
        <w:ind w:left="2160"/>
        <w:rPr>
          <w:rFonts w:ascii="Arial" w:hAnsi="Arial" w:cs="Arial"/>
          <w:iCs/>
        </w:rPr>
      </w:pPr>
    </w:p>
    <w:p w14:paraId="2C103EC7" w14:textId="69A69A59" w:rsidR="00ED5E4C" w:rsidRPr="00573CBD" w:rsidRDefault="00ED5E4C" w:rsidP="00ED5E4C">
      <w:pPr>
        <w:pStyle w:val="ListParagraph"/>
        <w:numPr>
          <w:ilvl w:val="0"/>
          <w:numId w:val="4"/>
        </w:numPr>
        <w:rPr>
          <w:rFonts w:ascii="Arial" w:hAnsi="Arial" w:cs="Arial"/>
          <w:b/>
          <w:bCs/>
          <w:iCs/>
        </w:rPr>
      </w:pPr>
      <w:r w:rsidRPr="00573CBD">
        <w:rPr>
          <w:rFonts w:ascii="Arial" w:hAnsi="Arial" w:cs="Arial"/>
          <w:b/>
          <w:bCs/>
          <w:iCs/>
        </w:rPr>
        <w:t xml:space="preserve">Preferable relevant </w:t>
      </w:r>
      <w:r w:rsidR="00165747" w:rsidRPr="00573CBD">
        <w:rPr>
          <w:rFonts w:ascii="Arial" w:hAnsi="Arial" w:cs="Arial"/>
          <w:b/>
          <w:bCs/>
          <w:iCs/>
        </w:rPr>
        <w:t>p</w:t>
      </w:r>
      <w:r w:rsidRPr="00573CBD">
        <w:rPr>
          <w:rFonts w:ascii="Arial" w:hAnsi="Arial" w:cs="Arial"/>
          <w:b/>
          <w:bCs/>
          <w:iCs/>
        </w:rPr>
        <w:t>eer-</w:t>
      </w:r>
      <w:r w:rsidR="00165747" w:rsidRPr="00573CBD">
        <w:rPr>
          <w:rFonts w:ascii="Arial" w:hAnsi="Arial" w:cs="Arial"/>
          <w:b/>
          <w:bCs/>
          <w:iCs/>
        </w:rPr>
        <w:t>r</w:t>
      </w:r>
      <w:r w:rsidRPr="00573CBD">
        <w:rPr>
          <w:rFonts w:ascii="Arial" w:hAnsi="Arial" w:cs="Arial"/>
          <w:b/>
          <w:bCs/>
          <w:iCs/>
        </w:rPr>
        <w:t xml:space="preserve">eviewed </w:t>
      </w:r>
      <w:r w:rsidR="00165747" w:rsidRPr="00573CBD">
        <w:rPr>
          <w:rFonts w:ascii="Arial" w:hAnsi="Arial" w:cs="Arial"/>
          <w:b/>
          <w:bCs/>
          <w:iCs/>
        </w:rPr>
        <w:t>j</w:t>
      </w:r>
      <w:r w:rsidRPr="00573CBD">
        <w:rPr>
          <w:rFonts w:ascii="Arial" w:hAnsi="Arial" w:cs="Arial"/>
          <w:b/>
          <w:bCs/>
          <w:iCs/>
        </w:rPr>
        <w:t>ournal for publication</w:t>
      </w:r>
      <w:r w:rsidR="001F0309" w:rsidRPr="00573CBD">
        <w:rPr>
          <w:rFonts w:ascii="Arial" w:hAnsi="Arial" w:cs="Arial"/>
          <w:b/>
          <w:bCs/>
          <w:iCs/>
        </w:rPr>
        <w:t>.</w:t>
      </w:r>
    </w:p>
    <w:p w14:paraId="7F4F263A" w14:textId="00467A22" w:rsidR="00FF4CA2" w:rsidRDefault="00573CBD" w:rsidP="00FF4CA2">
      <w:pPr>
        <w:pStyle w:val="ListParagraph"/>
        <w:ind w:left="2160"/>
        <w:rPr>
          <w:rFonts w:ascii="Arial" w:hAnsi="Arial" w:cs="Arial"/>
          <w:iCs/>
        </w:rPr>
      </w:pPr>
      <w:r w:rsidRPr="00573CBD">
        <w:rPr>
          <w:rFonts w:ascii="Arial" w:hAnsi="Arial" w:cs="Arial"/>
          <w:iCs/>
        </w:rPr>
        <w:t>Journal of the American Medical Associatio</w:t>
      </w:r>
      <w:r>
        <w:rPr>
          <w:rFonts w:ascii="Arial" w:hAnsi="Arial" w:cs="Arial"/>
          <w:iCs/>
        </w:rPr>
        <w:t>n</w:t>
      </w:r>
    </w:p>
    <w:p w14:paraId="5C8024EB" w14:textId="77777777" w:rsidR="00573CBD" w:rsidRPr="00A708D6" w:rsidRDefault="00573CBD" w:rsidP="00FF4CA2">
      <w:pPr>
        <w:pStyle w:val="ListParagraph"/>
        <w:ind w:left="2160"/>
        <w:rPr>
          <w:rFonts w:ascii="Arial" w:hAnsi="Arial" w:cs="Arial"/>
          <w:b/>
          <w:iCs/>
        </w:rPr>
      </w:pPr>
    </w:p>
    <w:p w14:paraId="61BE9184" w14:textId="64DC0AD9" w:rsidR="00EE4627" w:rsidRPr="00573CBD" w:rsidRDefault="00ED5E4C" w:rsidP="00053C04">
      <w:pPr>
        <w:pStyle w:val="ListParagraph"/>
        <w:numPr>
          <w:ilvl w:val="0"/>
          <w:numId w:val="4"/>
        </w:numPr>
        <w:rPr>
          <w:rFonts w:ascii="Arial" w:hAnsi="Arial" w:cs="Arial"/>
          <w:b/>
          <w:bCs/>
        </w:rPr>
      </w:pPr>
      <w:r w:rsidRPr="00573CBD">
        <w:rPr>
          <w:rFonts w:ascii="Arial" w:hAnsi="Arial" w:cs="Arial"/>
          <w:b/>
          <w:bCs/>
          <w:iCs/>
        </w:rPr>
        <w:t xml:space="preserve">Rationale as to how the measure correlates to existing cost measures and improvement activities, as applicable and feasible. </w:t>
      </w:r>
      <w:bookmarkEnd w:id="0"/>
    </w:p>
    <w:p w14:paraId="24925AA6" w14:textId="62C842CD" w:rsidR="00CC6F4B" w:rsidRPr="00053C04" w:rsidRDefault="000A5EAF" w:rsidP="00CC6F4B">
      <w:pPr>
        <w:pStyle w:val="ListParagraph"/>
        <w:numPr>
          <w:ilvl w:val="1"/>
          <w:numId w:val="4"/>
        </w:numPr>
        <w:rPr>
          <w:rFonts w:ascii="Arial" w:hAnsi="Arial" w:cs="Arial"/>
        </w:rPr>
      </w:pPr>
      <w:r>
        <w:rPr>
          <w:rFonts w:ascii="Arial" w:hAnsi="Arial" w:cs="Arial"/>
        </w:rPr>
        <w:t>This measure builds on existing SDOH measures to include accountability for following up on patients’ social needs.</w:t>
      </w:r>
    </w:p>
    <w:p w14:paraId="2EBD613E" w14:textId="48DE1CB0" w:rsidR="68BADB0C" w:rsidRDefault="68BADB0C">
      <w:r>
        <w:br w:type="page"/>
      </w:r>
    </w:p>
    <w:p w14:paraId="6C250682" w14:textId="2393121F" w:rsidR="76EE0C26" w:rsidRDefault="76EE0C26" w:rsidP="68BADB0C">
      <w:pPr>
        <w:ind w:left="720"/>
        <w:jc w:val="center"/>
        <w:rPr>
          <w:rFonts w:ascii="Arial" w:hAnsi="Arial" w:cs="Arial"/>
        </w:rPr>
      </w:pPr>
      <w:r w:rsidRPr="68BADB0C">
        <w:rPr>
          <w:rFonts w:ascii="Arial" w:hAnsi="Arial" w:cs="Arial"/>
        </w:rPr>
        <w:lastRenderedPageBreak/>
        <w:t xml:space="preserve">References </w:t>
      </w:r>
    </w:p>
    <w:p w14:paraId="10747BFD" w14:textId="76234E9C" w:rsidR="76EE0C26" w:rsidRDefault="76EE0C26" w:rsidP="68BADB0C">
      <w:pPr>
        <w:spacing w:after="0"/>
        <w:ind w:left="540"/>
        <w:rPr>
          <w:rFonts w:ascii="Arial" w:eastAsia="Arial" w:hAnsi="Arial" w:cs="Arial"/>
        </w:rPr>
      </w:pPr>
      <w:r w:rsidRPr="68BADB0C">
        <w:rPr>
          <w:rFonts w:ascii="Arial" w:eastAsia="Arial" w:hAnsi="Arial" w:cs="Arial"/>
        </w:rPr>
        <w:t xml:space="preserve">1. What is the CMS National Quality Strategy? (n.d.). Cms.gov, from </w:t>
      </w:r>
      <w:hyperlink r:id="rId12">
        <w:r w:rsidRPr="68BADB0C">
          <w:rPr>
            <w:rStyle w:val="Hyperlink"/>
            <w:rFonts w:ascii="Arial" w:eastAsia="Arial" w:hAnsi="Arial" w:cs="Arial"/>
            <w:u w:val="none"/>
          </w:rPr>
          <w:t>https://www.cms.gov/Medicare/Quality-Initiatives-Patient-Assessment-Instruments/Value-Based-Programs/CMS-Quality-Strategy</w:t>
        </w:r>
      </w:hyperlink>
      <w:r w:rsidRPr="68BADB0C">
        <w:rPr>
          <w:rFonts w:ascii="Arial" w:eastAsia="Arial" w:hAnsi="Arial" w:cs="Arial"/>
        </w:rPr>
        <w:t xml:space="preserve"> </w:t>
      </w:r>
    </w:p>
    <w:p w14:paraId="71159D85" w14:textId="2CE5F308"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6EF30354" w14:textId="3797CD53" w:rsidR="76EE0C26" w:rsidRDefault="76EE0C26" w:rsidP="68BADB0C">
      <w:pPr>
        <w:spacing w:after="0"/>
        <w:ind w:left="540"/>
        <w:rPr>
          <w:rFonts w:ascii="Arial" w:eastAsia="Arial" w:hAnsi="Arial" w:cs="Arial"/>
        </w:rPr>
      </w:pPr>
      <w:r w:rsidRPr="68BADB0C">
        <w:rPr>
          <w:rFonts w:ascii="Arial" w:eastAsia="Arial" w:hAnsi="Arial" w:cs="Arial"/>
        </w:rPr>
        <w:t xml:space="preserve">2. Jacobs, D. B., Schreiber, M., </w:t>
      </w:r>
      <w:proofErr w:type="spellStart"/>
      <w:r w:rsidRPr="68BADB0C">
        <w:rPr>
          <w:rFonts w:ascii="Arial" w:eastAsia="Arial" w:hAnsi="Arial" w:cs="Arial"/>
        </w:rPr>
        <w:t>Seshamani</w:t>
      </w:r>
      <w:proofErr w:type="spellEnd"/>
      <w:r w:rsidRPr="68BADB0C">
        <w:rPr>
          <w:rFonts w:ascii="Arial" w:eastAsia="Arial" w:hAnsi="Arial" w:cs="Arial"/>
        </w:rPr>
        <w:t xml:space="preserve">, M., Tsai, D., Fowler, E., &amp; Fleisher, L. A. (2023). Aligning quality measures across CMS - the universal foundation. The New England Journal of Medicine. </w:t>
      </w:r>
      <w:hyperlink r:id="rId13">
        <w:r w:rsidRPr="68BADB0C">
          <w:rPr>
            <w:rStyle w:val="Hyperlink"/>
            <w:rFonts w:ascii="Arial" w:eastAsia="Arial" w:hAnsi="Arial" w:cs="Arial"/>
            <w:u w:val="none"/>
          </w:rPr>
          <w:t>https://doi.org/10.1056/NEJMp2215539</w:t>
        </w:r>
      </w:hyperlink>
      <w:r w:rsidRPr="68BADB0C">
        <w:rPr>
          <w:rFonts w:ascii="Arial" w:eastAsia="Arial" w:hAnsi="Arial" w:cs="Arial"/>
        </w:rPr>
        <w:t xml:space="preserve"> </w:t>
      </w:r>
    </w:p>
    <w:p w14:paraId="1432859D" w14:textId="45B251EF"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3C3D98EE" w14:textId="326EE200" w:rsidR="76EE0C26" w:rsidRDefault="76EE0C26" w:rsidP="68BADB0C">
      <w:pPr>
        <w:spacing w:after="0"/>
        <w:ind w:left="540"/>
        <w:rPr>
          <w:rFonts w:ascii="Arial" w:eastAsia="Arial" w:hAnsi="Arial" w:cs="Arial"/>
        </w:rPr>
      </w:pPr>
      <w:r w:rsidRPr="68BADB0C">
        <w:rPr>
          <w:rFonts w:ascii="Arial" w:eastAsia="Arial" w:hAnsi="Arial" w:cs="Arial"/>
        </w:rPr>
        <w:t>3. Odoms-Young A, Bruce MA. Examining the Impact of Structural Racism on Food Insecurity: Implications for Addressing Racial/Ethnic Disparities. Fam Community Health. 2018 Apr/Jun;41 Suppl 2 Suppl, Food Insecurity and Obesity (Suppl 2 FOOD INSECURITY AND OBESITY</w:t>
      </w:r>
      <w:proofErr w:type="gramStart"/>
      <w:r w:rsidRPr="68BADB0C">
        <w:rPr>
          <w:rFonts w:ascii="Arial" w:eastAsia="Arial" w:hAnsi="Arial" w:cs="Arial"/>
        </w:rPr>
        <w:t>):S</w:t>
      </w:r>
      <w:proofErr w:type="gramEnd"/>
      <w:r w:rsidRPr="68BADB0C">
        <w:rPr>
          <w:rFonts w:ascii="Arial" w:eastAsia="Arial" w:hAnsi="Arial" w:cs="Arial"/>
        </w:rPr>
        <w:t xml:space="preserve">3-S6. </w:t>
      </w:r>
      <w:proofErr w:type="spellStart"/>
      <w:r w:rsidRPr="68BADB0C">
        <w:rPr>
          <w:rFonts w:ascii="Arial" w:eastAsia="Arial" w:hAnsi="Arial" w:cs="Arial"/>
        </w:rPr>
        <w:t>doi</w:t>
      </w:r>
      <w:proofErr w:type="spellEnd"/>
      <w:r w:rsidRPr="68BADB0C">
        <w:rPr>
          <w:rFonts w:ascii="Arial" w:eastAsia="Arial" w:hAnsi="Arial" w:cs="Arial"/>
        </w:rPr>
        <w:t xml:space="preserve">: 10.1097/FCH.0000000000000183. PMID: 29461310; PMCID: PMC5823283 </w:t>
      </w:r>
    </w:p>
    <w:p w14:paraId="7C38834E" w14:textId="77EC6B96"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445519C3" w14:textId="69A5F46C" w:rsidR="76EE0C26" w:rsidRDefault="76EE0C26" w:rsidP="68BADB0C">
      <w:pPr>
        <w:spacing w:after="0"/>
        <w:ind w:left="540"/>
        <w:rPr>
          <w:rFonts w:ascii="Arial" w:eastAsia="Arial" w:hAnsi="Arial" w:cs="Arial"/>
        </w:rPr>
      </w:pPr>
      <w:r w:rsidRPr="68BADB0C">
        <w:rPr>
          <w:rFonts w:ascii="Arial" w:eastAsia="Arial" w:hAnsi="Arial" w:cs="Arial"/>
        </w:rPr>
        <w:t>4. Fraze TK, Brewster AL, Lewis VA, Beidler LB, Murray GF, Colla CH. Prevalence of Screening for Food Insecurity, Housing Instability, Utility Needs, Transportation Needs, and Interpersonal Violence by US Physician Practices and Hospitals. JAMA Network Open. 2019;2(9</w:t>
      </w:r>
      <w:proofErr w:type="gramStart"/>
      <w:r w:rsidRPr="68BADB0C">
        <w:rPr>
          <w:rFonts w:ascii="Arial" w:eastAsia="Arial" w:hAnsi="Arial" w:cs="Arial"/>
        </w:rPr>
        <w:t>):e</w:t>
      </w:r>
      <w:proofErr w:type="gramEnd"/>
      <w:r w:rsidRPr="68BADB0C">
        <w:rPr>
          <w:rFonts w:ascii="Arial" w:eastAsia="Arial" w:hAnsi="Arial" w:cs="Arial"/>
        </w:rPr>
        <w:t xml:space="preserve">1911514. Published 2019 Sep 4. doi:10.1001/jamanetworkopen.2019.11514 </w:t>
      </w:r>
    </w:p>
    <w:p w14:paraId="2CC00CC8" w14:textId="1DC0ECFA"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1EA21B3C" w14:textId="0953CBFD" w:rsidR="76EE0C26" w:rsidRDefault="76EE0C26" w:rsidP="68BADB0C">
      <w:pPr>
        <w:spacing w:after="0"/>
        <w:ind w:left="540"/>
        <w:rPr>
          <w:rFonts w:ascii="Arial" w:eastAsia="Arial" w:hAnsi="Arial" w:cs="Arial"/>
        </w:rPr>
      </w:pPr>
      <w:r w:rsidRPr="68BADB0C">
        <w:rPr>
          <w:rFonts w:ascii="Arial" w:eastAsia="Arial" w:hAnsi="Arial" w:cs="Arial"/>
        </w:rPr>
        <w:t xml:space="preserve">5. </w:t>
      </w:r>
      <w:hyperlink r:id="rId14">
        <w:r w:rsidRPr="68BADB0C">
          <w:rPr>
            <w:rStyle w:val="Hyperlink"/>
            <w:rFonts w:ascii="Arial" w:eastAsia="Arial" w:hAnsi="Arial" w:cs="Arial"/>
            <w:u w:val="none"/>
          </w:rPr>
          <w:t>https://www.healthaffairs.org/content/forefront/lessons-five-years-cms-accountable-health-communities-model</w:t>
        </w:r>
      </w:hyperlink>
      <w:r w:rsidRPr="68BADB0C">
        <w:rPr>
          <w:rFonts w:ascii="Arial" w:eastAsia="Arial" w:hAnsi="Arial" w:cs="Arial"/>
        </w:rPr>
        <w:t xml:space="preserve"> </w:t>
      </w:r>
    </w:p>
    <w:p w14:paraId="0575DA82" w14:textId="6CEE2120"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25A89D6C" w14:textId="40A66E66" w:rsidR="76EE0C26" w:rsidRDefault="76EE0C26" w:rsidP="68BADB0C">
      <w:pPr>
        <w:spacing w:after="0"/>
        <w:ind w:left="540"/>
        <w:rPr>
          <w:rFonts w:ascii="Arial" w:eastAsia="Arial" w:hAnsi="Arial" w:cs="Arial"/>
        </w:rPr>
      </w:pPr>
      <w:r w:rsidRPr="68BADB0C">
        <w:rPr>
          <w:rFonts w:ascii="Arial" w:eastAsia="Arial" w:hAnsi="Arial" w:cs="Arial"/>
        </w:rPr>
        <w:t xml:space="preserve">6. Chang, W., Richwine, C. (July 2023). Social Needs Screening among Non-Federal Acute Care Hospitals, 2022. ONC Data Brief, no.67. Office of the National Coordinator for Health Information Technology: Washington DC. </w:t>
      </w:r>
    </w:p>
    <w:p w14:paraId="3819A01A" w14:textId="785200D9"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6B6E0D29" w14:textId="2729FBD3" w:rsidR="76EE0C26" w:rsidRDefault="76EE0C26" w:rsidP="68BADB0C">
      <w:pPr>
        <w:spacing w:after="0"/>
        <w:ind w:left="540"/>
        <w:rPr>
          <w:rFonts w:ascii="Arial" w:eastAsia="Arial" w:hAnsi="Arial" w:cs="Arial"/>
        </w:rPr>
      </w:pPr>
      <w:r w:rsidRPr="68BADB0C">
        <w:rPr>
          <w:rFonts w:ascii="Arial" w:eastAsia="Arial" w:hAnsi="Arial" w:cs="Arial"/>
        </w:rPr>
        <w:t xml:space="preserve">7. National Committee for Quality Assurance (2022). Proposed New Measure for HEDIS Measurement Year (MY) 2023: Social Need Screening and Intervention (SNS-E). Draft Document for HEDIS Public Comment. </w:t>
      </w:r>
      <w:hyperlink r:id="rId15">
        <w:r w:rsidRPr="68BADB0C">
          <w:rPr>
            <w:rStyle w:val="Hyperlink"/>
            <w:rFonts w:ascii="Arial" w:eastAsia="Arial" w:hAnsi="Arial" w:cs="Arial"/>
            <w:u w:val="none"/>
          </w:rPr>
          <w:t>https://www.ncqa.org/wp-content/uploads/2022/02/04.-SNS-E.pdf</w:t>
        </w:r>
      </w:hyperlink>
      <w:r w:rsidRPr="68BADB0C">
        <w:rPr>
          <w:rFonts w:ascii="Arial" w:eastAsia="Arial" w:hAnsi="Arial" w:cs="Arial"/>
        </w:rPr>
        <w:t xml:space="preserve"> </w:t>
      </w:r>
    </w:p>
    <w:p w14:paraId="554CFA08" w14:textId="49DE2FF9"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6A201714" w14:textId="43991921" w:rsidR="76EE0C26" w:rsidRDefault="76EE0C26" w:rsidP="68BADB0C">
      <w:pPr>
        <w:spacing w:after="0"/>
        <w:ind w:left="540"/>
        <w:rPr>
          <w:rFonts w:ascii="Arial" w:eastAsia="Arial" w:hAnsi="Arial" w:cs="Arial"/>
        </w:rPr>
      </w:pPr>
      <w:r w:rsidRPr="68BADB0C">
        <w:rPr>
          <w:rFonts w:ascii="Arial" w:eastAsia="Arial" w:hAnsi="Arial" w:cs="Arial"/>
        </w:rPr>
        <w:t xml:space="preserve">8. Gravity Project, 2023 </w:t>
      </w:r>
      <w:hyperlink r:id="rId16">
        <w:r w:rsidRPr="68BADB0C">
          <w:rPr>
            <w:rStyle w:val="Hyperlink"/>
            <w:rFonts w:ascii="Arial" w:eastAsia="Arial" w:hAnsi="Arial" w:cs="Arial"/>
            <w:u w:val="none"/>
          </w:rPr>
          <w:t>https://confluence.hl7.org/display/GRAV/The+Gravity+Project</w:t>
        </w:r>
      </w:hyperlink>
      <w:r w:rsidRPr="68BADB0C">
        <w:rPr>
          <w:rFonts w:ascii="Arial" w:eastAsia="Arial" w:hAnsi="Arial" w:cs="Arial"/>
        </w:rPr>
        <w:t xml:space="preserve"> </w:t>
      </w:r>
    </w:p>
    <w:p w14:paraId="67927F14" w14:textId="748B3750"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588AC70C" w14:textId="301735A8" w:rsidR="76EE0C26" w:rsidRDefault="76EE0C26" w:rsidP="68BADB0C">
      <w:pPr>
        <w:spacing w:after="0"/>
        <w:ind w:left="540"/>
      </w:pPr>
      <w:r w:rsidRPr="68BADB0C">
        <w:rPr>
          <w:rFonts w:ascii="Arial" w:eastAsia="Arial" w:hAnsi="Arial" w:cs="Arial"/>
        </w:rPr>
        <w:t xml:space="preserve">9. Hausmann, L. R. M., Cohen, A. J., Eliacin, J., </w:t>
      </w:r>
      <w:proofErr w:type="spellStart"/>
      <w:r w:rsidRPr="68BADB0C">
        <w:rPr>
          <w:rFonts w:ascii="Arial" w:eastAsia="Arial" w:hAnsi="Arial" w:cs="Arial"/>
        </w:rPr>
        <w:t>Gurewich</w:t>
      </w:r>
      <w:proofErr w:type="spellEnd"/>
      <w:r w:rsidRPr="68BADB0C">
        <w:rPr>
          <w:rFonts w:ascii="Arial" w:eastAsia="Arial" w:hAnsi="Arial" w:cs="Arial"/>
        </w:rPr>
        <w:t xml:space="preserve">, D. A., Lee, R. E., McCoy, J. L., </w:t>
      </w:r>
      <w:proofErr w:type="spellStart"/>
      <w:r w:rsidRPr="68BADB0C">
        <w:rPr>
          <w:rFonts w:ascii="Arial" w:eastAsia="Arial" w:hAnsi="Arial" w:cs="Arial"/>
        </w:rPr>
        <w:t>Meterko</w:t>
      </w:r>
      <w:proofErr w:type="spellEnd"/>
      <w:r w:rsidRPr="68BADB0C">
        <w:rPr>
          <w:rFonts w:ascii="Arial" w:eastAsia="Arial" w:hAnsi="Arial" w:cs="Arial"/>
        </w:rPr>
        <w:t xml:space="preserve">, M., Michaels, Z., Moy, E. M., </w:t>
      </w:r>
      <w:proofErr w:type="spellStart"/>
      <w:r w:rsidRPr="68BADB0C">
        <w:rPr>
          <w:rFonts w:ascii="Arial" w:eastAsia="Arial" w:hAnsi="Arial" w:cs="Arial"/>
        </w:rPr>
        <w:t>Procario</w:t>
      </w:r>
      <w:proofErr w:type="spellEnd"/>
      <w:r w:rsidRPr="68BADB0C">
        <w:rPr>
          <w:rFonts w:ascii="Arial" w:eastAsia="Arial" w:hAnsi="Arial" w:cs="Arial"/>
        </w:rPr>
        <w:t xml:space="preserve">, G. T., Russell, L. E., &amp; Schaefer, J. H., Jr (2023). Developing a brief assessment of social risks for the Veterans Health Administration Survey of Healthcare Experiences of Patients. Health services research, 58(6), 1209–1223. </w:t>
      </w:r>
      <w:hyperlink r:id="rId17">
        <w:r w:rsidRPr="68BADB0C">
          <w:rPr>
            <w:rStyle w:val="Hyperlink"/>
            <w:rFonts w:ascii="Arial" w:eastAsia="Arial" w:hAnsi="Arial" w:cs="Arial"/>
            <w:u w:val="none"/>
          </w:rPr>
          <w:t>https://doi.org/10.1111/1475-6773.14220</w:t>
        </w:r>
      </w:hyperlink>
    </w:p>
    <w:p w14:paraId="1C5047BB" w14:textId="48BED09C"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537D8EE3" w14:textId="2C8B48F3" w:rsidR="76EE0C26" w:rsidRDefault="76EE0C26" w:rsidP="68BADB0C">
      <w:pPr>
        <w:spacing w:after="0"/>
        <w:ind w:left="540"/>
        <w:rPr>
          <w:rFonts w:ascii="Arial" w:eastAsia="Arial" w:hAnsi="Arial" w:cs="Arial"/>
        </w:rPr>
      </w:pPr>
      <w:r w:rsidRPr="68BADB0C">
        <w:rPr>
          <w:rFonts w:ascii="Arial" w:eastAsia="Arial" w:hAnsi="Arial" w:cs="Arial"/>
        </w:rPr>
        <w:t xml:space="preserve">10. Lee, J. &amp; Korba, C. (2017) Social Determinants of Health: How are hospitals and health systems investing in and addressing social needs? Deloitte. </w:t>
      </w:r>
      <w:hyperlink r:id="rId18">
        <w:r w:rsidRPr="68BADB0C">
          <w:rPr>
            <w:rStyle w:val="Hyperlink"/>
            <w:rFonts w:ascii="Arial" w:eastAsia="Arial" w:hAnsi="Arial" w:cs="Arial"/>
            <w:u w:val="none"/>
          </w:rPr>
          <w:t>https://www2.deloitte.com/content/dam/Deloitte/us/Documents/life-sciences-health-care/us-lshc-addressing-social-determinants-of-health.pdf</w:t>
        </w:r>
      </w:hyperlink>
      <w:r w:rsidRPr="68BADB0C">
        <w:rPr>
          <w:rFonts w:ascii="Arial" w:eastAsia="Arial" w:hAnsi="Arial" w:cs="Arial"/>
        </w:rPr>
        <w:t xml:space="preserve"> </w:t>
      </w:r>
    </w:p>
    <w:p w14:paraId="0296893A" w14:textId="17D4EA2A"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09E8C73F" w14:textId="4DF6A164" w:rsidR="76EE0C26" w:rsidRDefault="76EE0C26" w:rsidP="68BADB0C">
      <w:pPr>
        <w:spacing w:after="0"/>
        <w:ind w:left="540"/>
        <w:rPr>
          <w:rFonts w:ascii="Arial" w:eastAsia="Arial" w:hAnsi="Arial" w:cs="Arial"/>
        </w:rPr>
      </w:pPr>
      <w:r w:rsidRPr="68BADB0C">
        <w:rPr>
          <w:rFonts w:ascii="Arial" w:eastAsia="Arial" w:hAnsi="Arial" w:cs="Arial"/>
        </w:rPr>
        <w:t xml:space="preserve">11. Park, Y., Quinn, J.W., Hurvitz, P.M. et al. Addressing patient’s unmet social needs: disparities in access to social services in the United States from 1990 to 2014, a national times series study. BMC Health Serv Res 22, 367 (2022). </w:t>
      </w:r>
      <w:hyperlink r:id="rId19">
        <w:r w:rsidRPr="68BADB0C">
          <w:rPr>
            <w:rStyle w:val="Hyperlink"/>
            <w:rFonts w:ascii="Arial" w:eastAsia="Arial" w:hAnsi="Arial" w:cs="Arial"/>
            <w:u w:val="none"/>
          </w:rPr>
          <w:t>https://doi.org/10.1186/s12913-022-07749-1</w:t>
        </w:r>
      </w:hyperlink>
      <w:r w:rsidRPr="68BADB0C">
        <w:rPr>
          <w:rFonts w:ascii="Arial" w:eastAsia="Arial" w:hAnsi="Arial" w:cs="Arial"/>
        </w:rPr>
        <w:t xml:space="preserve"> </w:t>
      </w:r>
    </w:p>
    <w:p w14:paraId="44A3B1A7" w14:textId="7AEF01B5"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20214DC7" w14:textId="5312F387" w:rsidR="76EE0C26" w:rsidRDefault="76EE0C26" w:rsidP="68BADB0C">
      <w:pPr>
        <w:spacing w:after="0"/>
        <w:ind w:left="540"/>
        <w:rPr>
          <w:rFonts w:ascii="Arial" w:eastAsia="Arial" w:hAnsi="Arial" w:cs="Arial"/>
        </w:rPr>
      </w:pPr>
      <w:r w:rsidRPr="68BADB0C">
        <w:rPr>
          <w:rFonts w:ascii="Arial" w:eastAsia="Arial" w:hAnsi="Arial" w:cs="Arial"/>
        </w:rPr>
        <w:t>12. American Health Information Management Association (February 2023). Social Determinants of Health Data: Survey Results on the Collection, Integration, and Use.</w:t>
      </w:r>
    </w:p>
    <w:p w14:paraId="3A2C0525" w14:textId="1171A39B"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237A124F" w14:textId="11B3FC3F" w:rsidR="76EE0C26" w:rsidRDefault="76EE0C26" w:rsidP="68BADB0C">
      <w:pPr>
        <w:spacing w:after="0"/>
        <w:ind w:left="540"/>
      </w:pPr>
      <w:r w:rsidRPr="68BADB0C">
        <w:rPr>
          <w:rFonts w:ascii="Arial" w:eastAsia="Arial" w:hAnsi="Arial" w:cs="Arial"/>
        </w:rPr>
        <w:lastRenderedPageBreak/>
        <w:t xml:space="preserve">13. National Academies of Sciences, Engineering, and Medicine. 2019. Integrating Social Care into the Delivery of Health Care: Moving Upstream to Improve the Nation's Health. Washington, DC: The National Academies Press. </w:t>
      </w:r>
      <w:hyperlink r:id="rId20">
        <w:r w:rsidRPr="68BADB0C">
          <w:rPr>
            <w:rStyle w:val="Hyperlink"/>
            <w:rFonts w:ascii="Arial" w:eastAsia="Arial" w:hAnsi="Arial" w:cs="Arial"/>
            <w:u w:val="none"/>
          </w:rPr>
          <w:t>https://doi.org/10.17226/25467</w:t>
        </w:r>
      </w:hyperlink>
    </w:p>
    <w:p w14:paraId="6FDE15F1" w14:textId="2F5E011E"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313AADB8" w14:textId="21DAFACD" w:rsidR="76EE0C26" w:rsidRDefault="76EE0C26" w:rsidP="68BADB0C">
      <w:pPr>
        <w:spacing w:after="0"/>
        <w:ind w:left="540"/>
        <w:rPr>
          <w:rFonts w:ascii="Arial" w:eastAsia="Arial" w:hAnsi="Arial" w:cs="Arial"/>
        </w:rPr>
      </w:pPr>
      <w:proofErr w:type="gramStart"/>
      <w:r w:rsidRPr="68BADB0C">
        <w:rPr>
          <w:rFonts w:ascii="Arial" w:eastAsia="Arial" w:hAnsi="Arial" w:cs="Arial"/>
        </w:rPr>
        <w:t>14  De</w:t>
      </w:r>
      <w:proofErr w:type="gramEnd"/>
      <w:r w:rsidRPr="68BADB0C">
        <w:rPr>
          <w:rFonts w:ascii="Arial" w:eastAsia="Arial" w:hAnsi="Arial" w:cs="Arial"/>
        </w:rPr>
        <w:t xml:space="preserve"> </w:t>
      </w:r>
      <w:proofErr w:type="spellStart"/>
      <w:r w:rsidRPr="68BADB0C">
        <w:rPr>
          <w:rFonts w:ascii="Arial" w:eastAsia="Arial" w:hAnsi="Arial" w:cs="Arial"/>
        </w:rPr>
        <w:t>Marchis</w:t>
      </w:r>
      <w:proofErr w:type="spellEnd"/>
      <w:r w:rsidRPr="68BADB0C">
        <w:rPr>
          <w:rFonts w:ascii="Arial" w:eastAsia="Arial" w:hAnsi="Arial" w:cs="Arial"/>
        </w:rPr>
        <w:t xml:space="preserve"> EH, Torres JM, Benesch T, </w:t>
      </w:r>
      <w:proofErr w:type="spellStart"/>
      <w:r w:rsidRPr="68BADB0C">
        <w:rPr>
          <w:rFonts w:ascii="Arial" w:eastAsia="Arial" w:hAnsi="Arial" w:cs="Arial"/>
        </w:rPr>
        <w:t>Fichtenberg</w:t>
      </w:r>
      <w:proofErr w:type="spellEnd"/>
      <w:r w:rsidRPr="68BADB0C">
        <w:rPr>
          <w:rFonts w:ascii="Arial" w:eastAsia="Arial" w:hAnsi="Arial" w:cs="Arial"/>
        </w:rPr>
        <w:t xml:space="preserve"> C, Allen IE, Whitaker EM, Gottlieb LM. Interventions Addressing Food Insecurity in Health Care Settings: A Systematic Review. Ann Fam Med. 2019 Sep;17(5):436-447. </w:t>
      </w:r>
      <w:proofErr w:type="spellStart"/>
      <w:r w:rsidRPr="68BADB0C">
        <w:rPr>
          <w:rFonts w:ascii="Arial" w:eastAsia="Arial" w:hAnsi="Arial" w:cs="Arial"/>
        </w:rPr>
        <w:t>doi</w:t>
      </w:r>
      <w:proofErr w:type="spellEnd"/>
      <w:r w:rsidRPr="68BADB0C">
        <w:rPr>
          <w:rFonts w:ascii="Arial" w:eastAsia="Arial" w:hAnsi="Arial" w:cs="Arial"/>
        </w:rPr>
        <w:t>: 10.1370/afm.2412. PMID: 31501207; PMCID: PMC703291</w:t>
      </w:r>
    </w:p>
    <w:p w14:paraId="03405F23" w14:textId="30528211"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36989F34" w14:textId="77C59EBE" w:rsidR="76EE0C26" w:rsidRDefault="76EE0C26" w:rsidP="68BADB0C">
      <w:pPr>
        <w:spacing w:after="0"/>
        <w:ind w:left="540"/>
        <w:rPr>
          <w:rFonts w:ascii="Arial" w:eastAsia="Arial" w:hAnsi="Arial" w:cs="Arial"/>
        </w:rPr>
      </w:pPr>
      <w:r w:rsidRPr="68BADB0C">
        <w:rPr>
          <w:rFonts w:ascii="Arial" w:eastAsia="Arial" w:hAnsi="Arial" w:cs="Arial"/>
        </w:rPr>
        <w:t xml:space="preserve">15 Solomon E, Wing H, Steiner J, Gottlieb LM. Impact on Transportation Interventions on Healthcare Outcomes: A Systematic Review. </w:t>
      </w:r>
      <w:r w:rsidRPr="68BADB0C">
        <w:rPr>
          <w:rFonts w:ascii="Arial" w:eastAsia="Arial" w:hAnsi="Arial" w:cs="Arial"/>
          <w:i/>
          <w:iCs/>
        </w:rPr>
        <w:t>Medical Care</w:t>
      </w:r>
      <w:r w:rsidRPr="68BADB0C">
        <w:rPr>
          <w:rFonts w:ascii="Arial" w:eastAsia="Arial" w:hAnsi="Arial" w:cs="Arial"/>
        </w:rPr>
        <w:t xml:space="preserve">. Apr;58(4):384-391. </w:t>
      </w:r>
      <w:proofErr w:type="spellStart"/>
      <w:r w:rsidRPr="68BADB0C">
        <w:rPr>
          <w:rFonts w:ascii="Arial" w:eastAsia="Arial" w:hAnsi="Arial" w:cs="Arial"/>
        </w:rPr>
        <w:t>doi</w:t>
      </w:r>
      <w:proofErr w:type="spellEnd"/>
      <w:r w:rsidRPr="68BADB0C">
        <w:rPr>
          <w:rFonts w:ascii="Arial" w:eastAsia="Arial" w:hAnsi="Arial" w:cs="Arial"/>
        </w:rPr>
        <w:t>: 10.1097/MLR.0000000000001292</w:t>
      </w:r>
    </w:p>
    <w:p w14:paraId="3EEB440D" w14:textId="35DDD4F3"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2B8C148B" w14:textId="4D69BFEF" w:rsidR="76EE0C26" w:rsidRDefault="76EE0C26" w:rsidP="68BADB0C">
      <w:pPr>
        <w:spacing w:after="0"/>
        <w:ind w:left="540"/>
        <w:rPr>
          <w:rFonts w:ascii="Arial" w:eastAsia="Arial" w:hAnsi="Arial" w:cs="Arial"/>
        </w:rPr>
      </w:pPr>
      <w:proofErr w:type="gramStart"/>
      <w:r w:rsidRPr="68BADB0C">
        <w:rPr>
          <w:rFonts w:ascii="Arial" w:eastAsia="Arial" w:hAnsi="Arial" w:cs="Arial"/>
        </w:rPr>
        <w:t>16  Oronce</w:t>
      </w:r>
      <w:proofErr w:type="gramEnd"/>
      <w:r w:rsidRPr="68BADB0C">
        <w:rPr>
          <w:rFonts w:ascii="Arial" w:eastAsia="Arial" w:hAnsi="Arial" w:cs="Arial"/>
        </w:rPr>
        <w:t xml:space="preserve"> CIA, </w:t>
      </w:r>
      <w:proofErr w:type="spellStart"/>
      <w:r w:rsidRPr="68BADB0C">
        <w:rPr>
          <w:rFonts w:ascii="Arial" w:eastAsia="Arial" w:hAnsi="Arial" w:cs="Arial"/>
        </w:rPr>
        <w:t>Miake</w:t>
      </w:r>
      <w:proofErr w:type="spellEnd"/>
      <w:r w:rsidRPr="68BADB0C">
        <w:rPr>
          <w:rFonts w:ascii="Arial" w:eastAsia="Arial" w:hAnsi="Arial" w:cs="Arial"/>
        </w:rPr>
        <w:t xml:space="preserve">-Lye IM, </w:t>
      </w:r>
      <w:proofErr w:type="spellStart"/>
      <w:r w:rsidRPr="68BADB0C">
        <w:rPr>
          <w:rFonts w:ascii="Arial" w:eastAsia="Arial" w:hAnsi="Arial" w:cs="Arial"/>
        </w:rPr>
        <w:t>Begashaw</w:t>
      </w:r>
      <w:proofErr w:type="spellEnd"/>
      <w:r w:rsidRPr="68BADB0C">
        <w:rPr>
          <w:rFonts w:ascii="Arial" w:eastAsia="Arial" w:hAnsi="Arial" w:cs="Arial"/>
        </w:rPr>
        <w:t xml:space="preserve"> MM, Booth M, Shrank WH, </w:t>
      </w:r>
      <w:proofErr w:type="spellStart"/>
      <w:r w:rsidRPr="68BADB0C">
        <w:rPr>
          <w:rFonts w:ascii="Arial" w:eastAsia="Arial" w:hAnsi="Arial" w:cs="Arial"/>
        </w:rPr>
        <w:t>Shekelle</w:t>
      </w:r>
      <w:proofErr w:type="spellEnd"/>
      <w:r w:rsidRPr="68BADB0C">
        <w:rPr>
          <w:rFonts w:ascii="Arial" w:eastAsia="Arial" w:hAnsi="Arial" w:cs="Arial"/>
        </w:rPr>
        <w:t xml:space="preserve"> PG. Interventions to Address Food Insecurity Among Adults in Canada and the US: A Systematic Review and Meta-analysis. JAMA Health Forum. 2021 Aug 6;2(8</w:t>
      </w:r>
      <w:proofErr w:type="gramStart"/>
      <w:r w:rsidRPr="68BADB0C">
        <w:rPr>
          <w:rFonts w:ascii="Arial" w:eastAsia="Arial" w:hAnsi="Arial" w:cs="Arial"/>
        </w:rPr>
        <w:t>):e</w:t>
      </w:r>
      <w:proofErr w:type="gramEnd"/>
      <w:r w:rsidRPr="68BADB0C">
        <w:rPr>
          <w:rFonts w:ascii="Arial" w:eastAsia="Arial" w:hAnsi="Arial" w:cs="Arial"/>
        </w:rPr>
        <w:t xml:space="preserve">212001. </w:t>
      </w:r>
      <w:proofErr w:type="spellStart"/>
      <w:r w:rsidRPr="68BADB0C">
        <w:rPr>
          <w:rFonts w:ascii="Arial" w:eastAsia="Arial" w:hAnsi="Arial" w:cs="Arial"/>
        </w:rPr>
        <w:t>doi</w:t>
      </w:r>
      <w:proofErr w:type="spellEnd"/>
      <w:r w:rsidRPr="68BADB0C">
        <w:rPr>
          <w:rFonts w:ascii="Arial" w:eastAsia="Arial" w:hAnsi="Arial" w:cs="Arial"/>
        </w:rPr>
        <w:t>: 10.1001/jamahealthforum.2021.2001. PMID: 35977189; PMCID: PMC8796981</w:t>
      </w:r>
    </w:p>
    <w:p w14:paraId="2AF8E3FB" w14:textId="3B04FCB8"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3CAB9E7B" w14:textId="1DF78596" w:rsidR="76EE0C26" w:rsidRDefault="76EE0C26" w:rsidP="68BADB0C">
      <w:pPr>
        <w:spacing w:after="240"/>
        <w:ind w:left="540"/>
        <w:rPr>
          <w:rFonts w:ascii="Arial" w:eastAsia="Arial" w:hAnsi="Arial" w:cs="Arial"/>
        </w:rPr>
      </w:pPr>
      <w:r w:rsidRPr="68BADB0C">
        <w:rPr>
          <w:rFonts w:ascii="Arial" w:eastAsia="Arial" w:hAnsi="Arial" w:cs="Arial"/>
        </w:rPr>
        <w:t xml:space="preserve">17 </w:t>
      </w:r>
      <w:proofErr w:type="spellStart"/>
      <w:r w:rsidRPr="68BADB0C">
        <w:rPr>
          <w:rFonts w:ascii="Arial" w:eastAsia="Arial" w:hAnsi="Arial" w:cs="Arial"/>
        </w:rPr>
        <w:t>Rattermann</w:t>
      </w:r>
      <w:proofErr w:type="spellEnd"/>
      <w:r w:rsidRPr="68BADB0C">
        <w:rPr>
          <w:rFonts w:ascii="Arial" w:eastAsia="Arial" w:hAnsi="Arial" w:cs="Arial"/>
        </w:rPr>
        <w:t xml:space="preserve">, M. J., Angelov, A., Reddicks, T., &amp; Monk, J. (2021). Advancing health equity by addressing social determinants of health: Using health data to improve educational outcomes. </w:t>
      </w:r>
      <w:proofErr w:type="spellStart"/>
      <w:r w:rsidRPr="68BADB0C">
        <w:rPr>
          <w:rFonts w:ascii="Arial" w:eastAsia="Arial" w:hAnsi="Arial" w:cs="Arial"/>
          <w:i/>
          <w:iCs/>
        </w:rPr>
        <w:t>PloS</w:t>
      </w:r>
      <w:proofErr w:type="spellEnd"/>
      <w:r w:rsidRPr="68BADB0C">
        <w:rPr>
          <w:rFonts w:ascii="Arial" w:eastAsia="Arial" w:hAnsi="Arial" w:cs="Arial"/>
          <w:i/>
          <w:iCs/>
        </w:rPr>
        <w:t xml:space="preserve"> one</w:t>
      </w:r>
      <w:r w:rsidRPr="68BADB0C">
        <w:rPr>
          <w:rFonts w:ascii="Arial" w:eastAsia="Arial" w:hAnsi="Arial" w:cs="Arial"/>
        </w:rPr>
        <w:t>,</w:t>
      </w:r>
      <w:r w:rsidRPr="68BADB0C">
        <w:rPr>
          <w:rFonts w:ascii="Arial" w:eastAsia="Arial" w:hAnsi="Arial" w:cs="Arial"/>
          <w:i/>
          <w:iCs/>
        </w:rPr>
        <w:t>16</w:t>
      </w:r>
      <w:r w:rsidRPr="68BADB0C">
        <w:rPr>
          <w:rFonts w:ascii="Arial" w:eastAsia="Arial" w:hAnsi="Arial" w:cs="Arial"/>
        </w:rPr>
        <w:t xml:space="preserve">(3), e0247909. </w:t>
      </w:r>
      <w:hyperlink r:id="rId21">
        <w:r w:rsidRPr="68BADB0C">
          <w:rPr>
            <w:rStyle w:val="Hyperlink"/>
            <w:rFonts w:ascii="Arial" w:eastAsia="Arial" w:hAnsi="Arial" w:cs="Arial"/>
            <w:u w:val="none"/>
          </w:rPr>
          <w:t>https://doi.org/10.1371/journal.pone.0247909</w:t>
        </w:r>
      </w:hyperlink>
      <w:r w:rsidRPr="68BADB0C">
        <w:rPr>
          <w:rFonts w:ascii="Arial" w:eastAsia="Arial" w:hAnsi="Arial" w:cs="Arial"/>
        </w:rPr>
        <w:t xml:space="preserve"> </w:t>
      </w:r>
    </w:p>
    <w:p w14:paraId="6CE67041" w14:textId="53007474" w:rsidR="76EE0C26" w:rsidRDefault="76EE0C26" w:rsidP="68BADB0C">
      <w:pPr>
        <w:spacing w:after="240"/>
        <w:ind w:left="540"/>
        <w:rPr>
          <w:rFonts w:ascii="Arial" w:eastAsia="Arial" w:hAnsi="Arial" w:cs="Arial"/>
        </w:rPr>
      </w:pPr>
      <w:r w:rsidRPr="68BADB0C">
        <w:rPr>
          <w:rFonts w:ascii="Arial" w:eastAsia="Arial" w:hAnsi="Arial" w:cs="Arial"/>
        </w:rPr>
        <w:t xml:space="preserve">18 Council on Community Pediatrics (2013). Providing care for children and adolescents facing homelessness and housing </w:t>
      </w:r>
      <w:proofErr w:type="gramStart"/>
      <w:r w:rsidRPr="68BADB0C">
        <w:rPr>
          <w:rFonts w:ascii="Arial" w:eastAsia="Arial" w:hAnsi="Arial" w:cs="Arial"/>
        </w:rPr>
        <w:t>insecurity.</w:t>
      </w:r>
      <w:r w:rsidRPr="68BADB0C">
        <w:rPr>
          <w:rFonts w:ascii="Arial" w:eastAsia="Arial" w:hAnsi="Arial" w:cs="Arial"/>
          <w:i/>
          <w:iCs/>
        </w:rPr>
        <w:t>Pediatrics</w:t>
      </w:r>
      <w:proofErr w:type="gramEnd"/>
      <w:r w:rsidRPr="68BADB0C">
        <w:rPr>
          <w:rFonts w:ascii="Arial" w:eastAsia="Arial" w:hAnsi="Arial" w:cs="Arial"/>
        </w:rPr>
        <w:t>,</w:t>
      </w:r>
      <w:r w:rsidRPr="68BADB0C">
        <w:rPr>
          <w:rFonts w:ascii="Arial" w:eastAsia="Arial" w:hAnsi="Arial" w:cs="Arial"/>
          <w:i/>
          <w:iCs/>
        </w:rPr>
        <w:t>131</w:t>
      </w:r>
      <w:r w:rsidRPr="68BADB0C">
        <w:rPr>
          <w:rFonts w:ascii="Arial" w:eastAsia="Arial" w:hAnsi="Arial" w:cs="Arial"/>
        </w:rPr>
        <w:t xml:space="preserve">(6), 1206–1210. </w:t>
      </w:r>
      <w:hyperlink r:id="rId22">
        <w:r w:rsidRPr="68BADB0C">
          <w:rPr>
            <w:rStyle w:val="Hyperlink"/>
            <w:rFonts w:ascii="Arial" w:eastAsia="Arial" w:hAnsi="Arial" w:cs="Arial"/>
            <w:u w:val="none"/>
          </w:rPr>
          <w:t>https://doi.org/10.1542/peds.2013-0645</w:t>
        </w:r>
      </w:hyperlink>
      <w:r w:rsidRPr="68BADB0C">
        <w:rPr>
          <w:rFonts w:ascii="Arial" w:eastAsia="Arial" w:hAnsi="Arial" w:cs="Arial"/>
        </w:rPr>
        <w:t xml:space="preserve"> </w:t>
      </w:r>
    </w:p>
    <w:p w14:paraId="613FB9C3" w14:textId="21AA1893" w:rsidR="76EE0C26" w:rsidRDefault="76EE0C26" w:rsidP="68BADB0C">
      <w:pPr>
        <w:spacing w:after="240"/>
        <w:ind w:left="540"/>
        <w:rPr>
          <w:rFonts w:ascii="Arial" w:eastAsia="Arial" w:hAnsi="Arial" w:cs="Arial"/>
        </w:rPr>
      </w:pPr>
      <w:proofErr w:type="gramStart"/>
      <w:r w:rsidRPr="68BADB0C">
        <w:rPr>
          <w:rFonts w:ascii="Arial" w:eastAsia="Arial" w:hAnsi="Arial" w:cs="Arial"/>
        </w:rPr>
        <w:t>19  American</w:t>
      </w:r>
      <w:proofErr w:type="gramEnd"/>
      <w:r w:rsidRPr="68BADB0C">
        <w:rPr>
          <w:rFonts w:ascii="Arial" w:eastAsia="Arial" w:hAnsi="Arial" w:cs="Arial"/>
        </w:rPr>
        <w:t xml:space="preserve"> Academy of Family Physicians. (2019). </w:t>
      </w:r>
      <w:r w:rsidRPr="68BADB0C">
        <w:rPr>
          <w:rFonts w:ascii="Arial" w:eastAsia="Arial" w:hAnsi="Arial" w:cs="Arial"/>
          <w:i/>
          <w:iCs/>
        </w:rPr>
        <w:t xml:space="preserve">Advancing health equity by addressing the social determinants of health in Family Medicine [Position Paper]. </w:t>
      </w:r>
      <w:hyperlink r:id="rId23">
        <w:r w:rsidRPr="68BADB0C">
          <w:rPr>
            <w:rStyle w:val="Hyperlink"/>
            <w:rFonts w:ascii="Arial" w:eastAsia="Arial" w:hAnsi="Arial" w:cs="Arial"/>
            <w:i/>
            <w:iCs/>
            <w:u w:val="none"/>
          </w:rPr>
          <w:t>https://www.aafp.org/about/policies/all/social-determinants-health-family-medicine-position-paper.html</w:t>
        </w:r>
      </w:hyperlink>
      <w:r w:rsidRPr="68BADB0C">
        <w:rPr>
          <w:rFonts w:ascii="Arial" w:eastAsia="Arial" w:hAnsi="Arial" w:cs="Arial"/>
        </w:rPr>
        <w:t xml:space="preserve"> </w:t>
      </w:r>
    </w:p>
    <w:p w14:paraId="1F128F1B" w14:textId="3AC544B5" w:rsidR="76EE0C26" w:rsidRDefault="76EE0C26" w:rsidP="68BADB0C">
      <w:pPr>
        <w:spacing w:after="240"/>
        <w:ind w:left="540"/>
        <w:rPr>
          <w:rFonts w:ascii="Arial" w:eastAsia="Arial" w:hAnsi="Arial" w:cs="Arial"/>
        </w:rPr>
      </w:pPr>
      <w:r w:rsidRPr="68BADB0C">
        <w:rPr>
          <w:rFonts w:ascii="Arial" w:eastAsia="Arial" w:hAnsi="Arial" w:cs="Arial"/>
        </w:rPr>
        <w:t xml:space="preserve">20. Committee on Health Care for Underserved Women (2018). ACOG Committee Opinion No. 729: Importance of Social Determinants of Health and Cultural Awareness in the Delivery of Reproductive Health Care. </w:t>
      </w:r>
      <w:r w:rsidRPr="68BADB0C">
        <w:rPr>
          <w:rFonts w:ascii="Arial" w:eastAsia="Arial" w:hAnsi="Arial" w:cs="Arial"/>
          <w:i/>
          <w:iCs/>
        </w:rPr>
        <w:t>Obstetrics and gynecology</w:t>
      </w:r>
      <w:r w:rsidRPr="68BADB0C">
        <w:rPr>
          <w:rFonts w:ascii="Arial" w:eastAsia="Arial" w:hAnsi="Arial" w:cs="Arial"/>
        </w:rPr>
        <w:t>,</w:t>
      </w:r>
      <w:r w:rsidRPr="68BADB0C">
        <w:rPr>
          <w:rFonts w:ascii="Arial" w:eastAsia="Arial" w:hAnsi="Arial" w:cs="Arial"/>
          <w:i/>
          <w:iCs/>
        </w:rPr>
        <w:t>131</w:t>
      </w:r>
      <w:r w:rsidRPr="68BADB0C">
        <w:rPr>
          <w:rFonts w:ascii="Arial" w:eastAsia="Arial" w:hAnsi="Arial" w:cs="Arial"/>
        </w:rPr>
        <w:t xml:space="preserve">(1), e43–e48. </w:t>
      </w:r>
      <w:hyperlink r:id="rId24">
        <w:r w:rsidRPr="68BADB0C">
          <w:rPr>
            <w:rStyle w:val="Hyperlink"/>
            <w:rFonts w:ascii="Arial" w:eastAsia="Arial" w:hAnsi="Arial" w:cs="Arial"/>
            <w:u w:val="none"/>
          </w:rPr>
          <w:t>https://doi.org/10.1097/AOG.0000000000002459</w:t>
        </w:r>
      </w:hyperlink>
      <w:r w:rsidRPr="68BADB0C">
        <w:rPr>
          <w:rFonts w:ascii="Arial" w:eastAsia="Arial" w:hAnsi="Arial" w:cs="Arial"/>
        </w:rPr>
        <w:t xml:space="preserve"> </w:t>
      </w:r>
    </w:p>
    <w:p w14:paraId="0C3ACC0E" w14:textId="62E68E14" w:rsidR="76EE0C26" w:rsidRDefault="76EE0C26" w:rsidP="68BADB0C">
      <w:pPr>
        <w:spacing w:after="0"/>
        <w:ind w:left="540"/>
        <w:rPr>
          <w:rFonts w:ascii="Arial" w:eastAsia="Arial" w:hAnsi="Arial" w:cs="Arial"/>
        </w:rPr>
      </w:pPr>
      <w:r w:rsidRPr="68BADB0C">
        <w:rPr>
          <w:rFonts w:ascii="Arial" w:eastAsia="Arial" w:hAnsi="Arial" w:cs="Arial"/>
        </w:rPr>
        <w:t>21. American Diabetes Association Professional Practice Committee (2024). 1. Improving Care and Promoting Health in Populations: Standards of Care in Diabetes-2024.</w:t>
      </w:r>
      <w:r w:rsidRPr="68BADB0C">
        <w:rPr>
          <w:rFonts w:ascii="Arial" w:eastAsia="Arial" w:hAnsi="Arial" w:cs="Arial"/>
          <w:i/>
          <w:iCs/>
        </w:rPr>
        <w:t>Diabetes care</w:t>
      </w:r>
      <w:r w:rsidRPr="68BADB0C">
        <w:rPr>
          <w:rFonts w:ascii="Arial" w:eastAsia="Arial" w:hAnsi="Arial" w:cs="Arial"/>
        </w:rPr>
        <w:t>,</w:t>
      </w:r>
      <w:r w:rsidRPr="68BADB0C">
        <w:rPr>
          <w:rFonts w:ascii="Arial" w:eastAsia="Arial" w:hAnsi="Arial" w:cs="Arial"/>
          <w:i/>
          <w:iCs/>
        </w:rPr>
        <w:t>47</w:t>
      </w:r>
      <w:r w:rsidRPr="68BADB0C">
        <w:rPr>
          <w:rFonts w:ascii="Arial" w:eastAsia="Arial" w:hAnsi="Arial" w:cs="Arial"/>
        </w:rPr>
        <w:t xml:space="preserve">(Suppl 1), S11–S19. </w:t>
      </w:r>
      <w:hyperlink r:id="rId25">
        <w:r w:rsidRPr="68BADB0C">
          <w:rPr>
            <w:rStyle w:val="Hyperlink"/>
            <w:rFonts w:ascii="Arial" w:eastAsia="Arial" w:hAnsi="Arial" w:cs="Arial"/>
            <w:u w:val="none"/>
          </w:rPr>
          <w:t>https://doi.org/10.2337/dc24-S001</w:t>
        </w:r>
      </w:hyperlink>
      <w:r w:rsidRPr="68BADB0C">
        <w:rPr>
          <w:rFonts w:ascii="Arial" w:eastAsia="Arial" w:hAnsi="Arial" w:cs="Arial"/>
        </w:rPr>
        <w:t xml:space="preserve"> </w:t>
      </w:r>
    </w:p>
    <w:p w14:paraId="1F49F6E1" w14:textId="3A831A3E" w:rsidR="76EE0C26" w:rsidRDefault="76EE0C26" w:rsidP="68BADB0C">
      <w:pPr>
        <w:spacing w:after="0"/>
        <w:ind w:left="540"/>
        <w:rPr>
          <w:rFonts w:ascii="Arial" w:eastAsia="Arial" w:hAnsi="Arial" w:cs="Arial"/>
        </w:rPr>
      </w:pPr>
      <w:r w:rsidRPr="68BADB0C">
        <w:rPr>
          <w:rFonts w:ascii="Arial" w:eastAsia="Arial" w:hAnsi="Arial" w:cs="Arial"/>
        </w:rPr>
        <w:t xml:space="preserve"> </w:t>
      </w:r>
    </w:p>
    <w:p w14:paraId="37005F9F" w14:textId="0431CE3B" w:rsidR="00CC6F4B" w:rsidRDefault="76EE0C26" w:rsidP="68BADB0C">
      <w:pPr>
        <w:spacing w:after="0"/>
        <w:ind w:left="540"/>
        <w:rPr>
          <w:rFonts w:ascii="Arial" w:eastAsia="Arial" w:hAnsi="Arial" w:cs="Arial"/>
        </w:rPr>
      </w:pPr>
      <w:r w:rsidRPr="68BADB0C">
        <w:rPr>
          <w:rFonts w:ascii="Arial" w:eastAsia="Arial" w:hAnsi="Arial" w:cs="Arial"/>
        </w:rPr>
        <w:t xml:space="preserve">22. </w:t>
      </w:r>
      <w:proofErr w:type="spellStart"/>
      <w:r w:rsidRPr="68BADB0C">
        <w:rPr>
          <w:rFonts w:ascii="Arial" w:eastAsia="Arial" w:hAnsi="Arial" w:cs="Arial"/>
        </w:rPr>
        <w:t>Gusoff</w:t>
      </w:r>
      <w:proofErr w:type="spellEnd"/>
      <w:r w:rsidRPr="68BADB0C">
        <w:rPr>
          <w:rFonts w:ascii="Arial" w:eastAsia="Arial" w:hAnsi="Arial" w:cs="Arial"/>
        </w:rPr>
        <w:t xml:space="preserve">, G., </w:t>
      </w:r>
      <w:proofErr w:type="spellStart"/>
      <w:r w:rsidRPr="68BADB0C">
        <w:rPr>
          <w:rFonts w:ascii="Arial" w:eastAsia="Arial" w:hAnsi="Arial" w:cs="Arial"/>
        </w:rPr>
        <w:t>Fichtenberg</w:t>
      </w:r>
      <w:proofErr w:type="spellEnd"/>
      <w:r w:rsidRPr="68BADB0C">
        <w:rPr>
          <w:rFonts w:ascii="Arial" w:eastAsia="Arial" w:hAnsi="Arial" w:cs="Arial"/>
        </w:rPr>
        <w:t xml:space="preserve">, C., &amp; Gottlieb, L. M. (2018). Professional Medical Association Policy Statements on Social Health Assessments and Interventions. </w:t>
      </w:r>
      <w:r w:rsidRPr="68BADB0C">
        <w:rPr>
          <w:rFonts w:ascii="Arial" w:eastAsia="Arial" w:hAnsi="Arial" w:cs="Arial"/>
          <w:i/>
          <w:iCs/>
        </w:rPr>
        <w:t>The Permanente Journal</w:t>
      </w:r>
      <w:r w:rsidRPr="68BADB0C">
        <w:rPr>
          <w:rFonts w:ascii="Arial" w:eastAsia="Arial" w:hAnsi="Arial" w:cs="Arial"/>
        </w:rPr>
        <w:t>,</w:t>
      </w:r>
      <w:r w:rsidRPr="68BADB0C">
        <w:rPr>
          <w:rFonts w:ascii="Arial" w:eastAsia="Arial" w:hAnsi="Arial" w:cs="Arial"/>
          <w:i/>
          <w:iCs/>
        </w:rPr>
        <w:t>22</w:t>
      </w:r>
      <w:r w:rsidRPr="68BADB0C">
        <w:rPr>
          <w:rFonts w:ascii="Arial" w:eastAsia="Arial" w:hAnsi="Arial" w:cs="Arial"/>
        </w:rPr>
        <w:t xml:space="preserve">, 18-092. </w:t>
      </w:r>
      <w:hyperlink r:id="rId26">
        <w:r w:rsidRPr="68BADB0C">
          <w:rPr>
            <w:rStyle w:val="Hyperlink"/>
            <w:rFonts w:ascii="Arial" w:eastAsia="Arial" w:hAnsi="Arial" w:cs="Arial"/>
            <w:u w:val="none"/>
          </w:rPr>
          <w:t>https://doi.org/10.7812/TPP/18-092</w:t>
        </w:r>
      </w:hyperlink>
    </w:p>
    <w:sectPr w:rsidR="00CC6F4B" w:rsidSect="0029541B">
      <w:footerReference w:type="default" r:id="rId27"/>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8B7E7" w14:textId="77777777" w:rsidR="008551ED" w:rsidRDefault="008551ED">
      <w:pPr>
        <w:spacing w:after="0" w:line="240" w:lineRule="auto"/>
      </w:pPr>
      <w:r>
        <w:separator/>
      </w:r>
    </w:p>
  </w:endnote>
  <w:endnote w:type="continuationSeparator" w:id="0">
    <w:p w14:paraId="74D61DEC" w14:textId="77777777" w:rsidR="008551ED" w:rsidRDefault="008551ED">
      <w:pPr>
        <w:spacing w:after="0" w:line="240" w:lineRule="auto"/>
      </w:pPr>
      <w:r>
        <w:continuationSeparator/>
      </w:r>
    </w:p>
  </w:endnote>
  <w:endnote w:type="continuationNotice" w:id="1">
    <w:p w14:paraId="1CA050BB" w14:textId="77777777" w:rsidR="008551ED" w:rsidRDefault="008551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4AD861A9"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Pr="00F10277">
          <w:rPr>
            <w:rFonts w:ascii="Arial" w:hAnsi="Arial" w:cs="Arial"/>
            <w:noProof/>
          </w:rPr>
          <w:t>2</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D00C3" w14:textId="77777777" w:rsidR="008551ED" w:rsidRDefault="008551ED">
      <w:pPr>
        <w:spacing w:after="0" w:line="240" w:lineRule="auto"/>
      </w:pPr>
      <w:r>
        <w:separator/>
      </w:r>
    </w:p>
  </w:footnote>
  <w:footnote w:type="continuationSeparator" w:id="0">
    <w:p w14:paraId="025ADAA8" w14:textId="77777777" w:rsidR="008551ED" w:rsidRDefault="008551ED">
      <w:pPr>
        <w:spacing w:after="0" w:line="240" w:lineRule="auto"/>
      </w:pPr>
      <w:r>
        <w:continuationSeparator/>
      </w:r>
    </w:p>
  </w:footnote>
  <w:footnote w:type="continuationNotice" w:id="1">
    <w:p w14:paraId="280E068D" w14:textId="77777777" w:rsidR="008551ED" w:rsidRDefault="008551E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53C71"/>
    <w:multiLevelType w:val="hybridMultilevel"/>
    <w:tmpl w:val="7C8C665E"/>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 w15:restartNumberingAfterBreak="0">
    <w:nsid w:val="1D685479"/>
    <w:multiLevelType w:val="hybridMultilevel"/>
    <w:tmpl w:val="A32C44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24E3184"/>
    <w:multiLevelType w:val="hybridMultilevel"/>
    <w:tmpl w:val="9EE896B4"/>
    <w:lvl w:ilvl="0" w:tplc="FFFFFFFF">
      <w:start w:val="1"/>
      <w:numFmt w:val="bullet"/>
      <w:lvlText w:val=""/>
      <w:lvlJc w:val="left"/>
      <w:rPr>
        <w:rFonts w:ascii="Symbol" w:hAnsi="Symbol" w:hint="default"/>
        <w:i w:val="0"/>
        <w:iCs/>
      </w:rPr>
    </w:lvl>
    <w:lvl w:ilvl="1" w:tplc="FFFFFFFF">
      <w:start w:val="1"/>
      <w:numFmt w:val="lowerLetter"/>
      <w:lvlText w:val="%2."/>
      <w:lvlJc w:val="left"/>
      <w:pPr>
        <w:ind w:left="1800" w:hanging="360"/>
      </w:pPr>
    </w:lvl>
    <w:lvl w:ilvl="2" w:tplc="0409001B">
      <w:start w:val="1"/>
      <w:numFmt w:val="lowerRoman"/>
      <w:lvlText w:val="%3."/>
      <w:lvlJc w:val="righ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4B841FD"/>
    <w:multiLevelType w:val="hybridMultilevel"/>
    <w:tmpl w:val="99CCBA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C02991"/>
    <w:multiLevelType w:val="hybridMultilevel"/>
    <w:tmpl w:val="0410195C"/>
    <w:lvl w:ilvl="0" w:tplc="FFFFFFFF">
      <w:start w:val="1"/>
      <w:numFmt w:val="bullet"/>
      <w:lvlText w:val=""/>
      <w:lvlJc w:val="left"/>
      <w:rPr>
        <w:rFonts w:ascii="Symbol" w:hAnsi="Symbol" w:hint="default"/>
        <w:i w:val="0"/>
        <w:iCs/>
      </w:rPr>
    </w:lvl>
    <w:lvl w:ilvl="1" w:tplc="FFFFFFFF">
      <w:start w:val="1"/>
      <w:numFmt w:val="lowerLetter"/>
      <w:lvlText w:val="%2."/>
      <w:lvlJc w:val="left"/>
      <w:pPr>
        <w:ind w:left="1800" w:hanging="360"/>
      </w:pPr>
    </w:lvl>
    <w:lvl w:ilvl="2" w:tplc="04090001">
      <w:start w:val="1"/>
      <w:numFmt w:val="bullet"/>
      <w:lvlText w:val=""/>
      <w:lvlJc w:val="left"/>
      <w:pPr>
        <w:ind w:left="2700" w:hanging="360"/>
      </w:pPr>
      <w:rPr>
        <w:rFonts w:ascii="Symbol" w:hAnsi="Symbo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D47555C"/>
    <w:multiLevelType w:val="hybridMultilevel"/>
    <w:tmpl w:val="7D2C9CAE"/>
    <w:lvl w:ilvl="0" w:tplc="FFFFFFFF">
      <w:start w:val="1"/>
      <w:numFmt w:val="bullet"/>
      <w:lvlText w:val=""/>
      <w:lvlJc w:val="left"/>
      <w:rPr>
        <w:rFonts w:ascii="Symbol" w:hAnsi="Symbol" w:hint="default"/>
        <w:i w:val="0"/>
        <w:iCs/>
      </w:rPr>
    </w:lvl>
    <w:lvl w:ilvl="1" w:tplc="FFFFFFFF">
      <w:start w:val="1"/>
      <w:numFmt w:val="lowerLetter"/>
      <w:lvlText w:val="%2."/>
      <w:lvlJc w:val="left"/>
      <w:pPr>
        <w:ind w:left="1800" w:hanging="360"/>
      </w:pPr>
    </w:lvl>
    <w:lvl w:ilvl="2" w:tplc="727A3D8C">
      <w:numFmt w:val="bullet"/>
      <w:lvlText w:val="-"/>
      <w:lvlJc w:val="left"/>
      <w:pPr>
        <w:ind w:left="2700" w:hanging="360"/>
      </w:pPr>
      <w:rPr>
        <w:rFonts w:ascii="Calibri" w:eastAsiaTheme="minorHAnsi" w:hAnsi="Calibri" w:cs="Calibri"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DA1572"/>
    <w:multiLevelType w:val="multilevel"/>
    <w:tmpl w:val="5B06566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946409"/>
    <w:multiLevelType w:val="multilevel"/>
    <w:tmpl w:val="1624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D1D3FB2"/>
    <w:multiLevelType w:val="hybridMultilevel"/>
    <w:tmpl w:val="34D2A6C2"/>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1673558054">
    <w:abstractNumId w:val="2"/>
  </w:num>
  <w:num w:numId="2" w16cid:durableId="563374367">
    <w:abstractNumId w:val="14"/>
  </w:num>
  <w:num w:numId="3" w16cid:durableId="1087724512">
    <w:abstractNumId w:val="7"/>
  </w:num>
  <w:num w:numId="4" w16cid:durableId="1903328766">
    <w:abstractNumId w:val="6"/>
  </w:num>
  <w:num w:numId="5" w16cid:durableId="1855028549">
    <w:abstractNumId w:val="10"/>
  </w:num>
  <w:num w:numId="6" w16cid:durableId="2003242591">
    <w:abstractNumId w:val="0"/>
  </w:num>
  <w:num w:numId="7" w16cid:durableId="2067995048">
    <w:abstractNumId w:val="15"/>
  </w:num>
  <w:num w:numId="8" w16cid:durableId="1057706182">
    <w:abstractNumId w:val="16"/>
  </w:num>
  <w:num w:numId="9" w16cid:durableId="1672681407">
    <w:abstractNumId w:val="12"/>
  </w:num>
  <w:num w:numId="10" w16cid:durableId="62534073">
    <w:abstractNumId w:val="4"/>
  </w:num>
  <w:num w:numId="11" w16cid:durableId="1182628175">
    <w:abstractNumId w:val="3"/>
  </w:num>
  <w:num w:numId="12" w16cid:durableId="529803700">
    <w:abstractNumId w:val="1"/>
  </w:num>
  <w:num w:numId="13" w16cid:durableId="497113483">
    <w:abstractNumId w:val="17"/>
  </w:num>
  <w:num w:numId="14" w16cid:durableId="2143620736">
    <w:abstractNumId w:val="11"/>
  </w:num>
  <w:num w:numId="15" w16cid:durableId="1858344329">
    <w:abstractNumId w:val="13"/>
  </w:num>
  <w:num w:numId="16" w16cid:durableId="1593781967">
    <w:abstractNumId w:val="8"/>
  </w:num>
  <w:num w:numId="17" w16cid:durableId="1670058559">
    <w:abstractNumId w:val="9"/>
  </w:num>
  <w:num w:numId="18" w16cid:durableId="15269401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4C"/>
    <w:rsid w:val="0000181D"/>
    <w:rsid w:val="00006E01"/>
    <w:rsid w:val="00007404"/>
    <w:rsid w:val="00013C3A"/>
    <w:rsid w:val="00016E8E"/>
    <w:rsid w:val="00022885"/>
    <w:rsid w:val="00024841"/>
    <w:rsid w:val="000271EB"/>
    <w:rsid w:val="00031B57"/>
    <w:rsid w:val="00047133"/>
    <w:rsid w:val="00051D2E"/>
    <w:rsid w:val="00053C04"/>
    <w:rsid w:val="00056AD1"/>
    <w:rsid w:val="00060762"/>
    <w:rsid w:val="00065CCA"/>
    <w:rsid w:val="000718A6"/>
    <w:rsid w:val="00076CA8"/>
    <w:rsid w:val="00083423"/>
    <w:rsid w:val="000836C0"/>
    <w:rsid w:val="00090865"/>
    <w:rsid w:val="00093253"/>
    <w:rsid w:val="000A212D"/>
    <w:rsid w:val="000A5135"/>
    <w:rsid w:val="000A5EAF"/>
    <w:rsid w:val="000C1942"/>
    <w:rsid w:val="000C2D23"/>
    <w:rsid w:val="000D0ECA"/>
    <w:rsid w:val="000D4FDF"/>
    <w:rsid w:val="000D560A"/>
    <w:rsid w:val="000D76B5"/>
    <w:rsid w:val="000E03D9"/>
    <w:rsid w:val="000E0DC9"/>
    <w:rsid w:val="000E6C44"/>
    <w:rsid w:val="000F14ED"/>
    <w:rsid w:val="000F5651"/>
    <w:rsid w:val="000F6BE9"/>
    <w:rsid w:val="00112D25"/>
    <w:rsid w:val="00113CEE"/>
    <w:rsid w:val="0012611F"/>
    <w:rsid w:val="001314B7"/>
    <w:rsid w:val="001359DA"/>
    <w:rsid w:val="00136DF0"/>
    <w:rsid w:val="00137259"/>
    <w:rsid w:val="001378A3"/>
    <w:rsid w:val="001379AC"/>
    <w:rsid w:val="00137AB1"/>
    <w:rsid w:val="00144B72"/>
    <w:rsid w:val="00154E05"/>
    <w:rsid w:val="00154F13"/>
    <w:rsid w:val="00165747"/>
    <w:rsid w:val="00166C9F"/>
    <w:rsid w:val="0016710D"/>
    <w:rsid w:val="001742A6"/>
    <w:rsid w:val="001828BC"/>
    <w:rsid w:val="001B4031"/>
    <w:rsid w:val="001D353A"/>
    <w:rsid w:val="001D3833"/>
    <w:rsid w:val="001F0309"/>
    <w:rsid w:val="001F06B3"/>
    <w:rsid w:val="001F1DB8"/>
    <w:rsid w:val="001F485D"/>
    <w:rsid w:val="001F5232"/>
    <w:rsid w:val="00216557"/>
    <w:rsid w:val="00217B31"/>
    <w:rsid w:val="002214D3"/>
    <w:rsid w:val="0022259E"/>
    <w:rsid w:val="00246A65"/>
    <w:rsid w:val="002510FD"/>
    <w:rsid w:val="0025331A"/>
    <w:rsid w:val="002620C1"/>
    <w:rsid w:val="002631F8"/>
    <w:rsid w:val="00272F8C"/>
    <w:rsid w:val="00282C32"/>
    <w:rsid w:val="002902AC"/>
    <w:rsid w:val="002942D9"/>
    <w:rsid w:val="0029541B"/>
    <w:rsid w:val="002A0780"/>
    <w:rsid w:val="002A6F41"/>
    <w:rsid w:val="002B55FA"/>
    <w:rsid w:val="002B627F"/>
    <w:rsid w:val="002C5CEC"/>
    <w:rsid w:val="002D0A39"/>
    <w:rsid w:val="00305D5D"/>
    <w:rsid w:val="0030652D"/>
    <w:rsid w:val="00326F6D"/>
    <w:rsid w:val="00332C94"/>
    <w:rsid w:val="00343915"/>
    <w:rsid w:val="003448E1"/>
    <w:rsid w:val="003453F9"/>
    <w:rsid w:val="00350B15"/>
    <w:rsid w:val="00351944"/>
    <w:rsid w:val="00372F00"/>
    <w:rsid w:val="0037360E"/>
    <w:rsid w:val="003811D9"/>
    <w:rsid w:val="003B4B83"/>
    <w:rsid w:val="003C0773"/>
    <w:rsid w:val="003C7859"/>
    <w:rsid w:val="003D5D1A"/>
    <w:rsid w:val="003E4A57"/>
    <w:rsid w:val="003F2CD9"/>
    <w:rsid w:val="003F485D"/>
    <w:rsid w:val="003F5235"/>
    <w:rsid w:val="003F5C75"/>
    <w:rsid w:val="0040040F"/>
    <w:rsid w:val="004220CA"/>
    <w:rsid w:val="00423998"/>
    <w:rsid w:val="00426E15"/>
    <w:rsid w:val="00433578"/>
    <w:rsid w:val="00434691"/>
    <w:rsid w:val="004419BE"/>
    <w:rsid w:val="0045501B"/>
    <w:rsid w:val="004611B2"/>
    <w:rsid w:val="004613DD"/>
    <w:rsid w:val="00467CC9"/>
    <w:rsid w:val="00470D30"/>
    <w:rsid w:val="00473986"/>
    <w:rsid w:val="00474A51"/>
    <w:rsid w:val="00482149"/>
    <w:rsid w:val="0048407F"/>
    <w:rsid w:val="00486C0A"/>
    <w:rsid w:val="00491B8F"/>
    <w:rsid w:val="0049735E"/>
    <w:rsid w:val="004A3C96"/>
    <w:rsid w:val="004B0999"/>
    <w:rsid w:val="004B45C0"/>
    <w:rsid w:val="004C21E9"/>
    <w:rsid w:val="004C6569"/>
    <w:rsid w:val="004C75DF"/>
    <w:rsid w:val="004E1A76"/>
    <w:rsid w:val="004F0734"/>
    <w:rsid w:val="004F0BF8"/>
    <w:rsid w:val="004F3A5F"/>
    <w:rsid w:val="004F5CD0"/>
    <w:rsid w:val="004F7588"/>
    <w:rsid w:val="00510019"/>
    <w:rsid w:val="00512AF5"/>
    <w:rsid w:val="00513F7B"/>
    <w:rsid w:val="0052000C"/>
    <w:rsid w:val="0053447D"/>
    <w:rsid w:val="00534B2E"/>
    <w:rsid w:val="005437FB"/>
    <w:rsid w:val="00552A8C"/>
    <w:rsid w:val="00561E76"/>
    <w:rsid w:val="00571AE2"/>
    <w:rsid w:val="00573CBD"/>
    <w:rsid w:val="00595824"/>
    <w:rsid w:val="005A53A5"/>
    <w:rsid w:val="005D152D"/>
    <w:rsid w:val="005D51CE"/>
    <w:rsid w:val="005D6B42"/>
    <w:rsid w:val="005E2F4E"/>
    <w:rsid w:val="005E6504"/>
    <w:rsid w:val="005E6A28"/>
    <w:rsid w:val="005F272C"/>
    <w:rsid w:val="00604A15"/>
    <w:rsid w:val="00604D54"/>
    <w:rsid w:val="00624B8F"/>
    <w:rsid w:val="00625EC5"/>
    <w:rsid w:val="00632F3D"/>
    <w:rsid w:val="00633035"/>
    <w:rsid w:val="00633C0B"/>
    <w:rsid w:val="0063717F"/>
    <w:rsid w:val="00642EFA"/>
    <w:rsid w:val="00645969"/>
    <w:rsid w:val="00651B47"/>
    <w:rsid w:val="00652A18"/>
    <w:rsid w:val="00652DCE"/>
    <w:rsid w:val="00654922"/>
    <w:rsid w:val="006645A3"/>
    <w:rsid w:val="00665ABA"/>
    <w:rsid w:val="0069658D"/>
    <w:rsid w:val="006A00EA"/>
    <w:rsid w:val="006A042A"/>
    <w:rsid w:val="006A0A28"/>
    <w:rsid w:val="006A2EBD"/>
    <w:rsid w:val="006A323C"/>
    <w:rsid w:val="006A4124"/>
    <w:rsid w:val="006A7B4E"/>
    <w:rsid w:val="006B42E6"/>
    <w:rsid w:val="006C4AB2"/>
    <w:rsid w:val="006C6049"/>
    <w:rsid w:val="006E2BAE"/>
    <w:rsid w:val="006E6323"/>
    <w:rsid w:val="006E69AA"/>
    <w:rsid w:val="006F74A5"/>
    <w:rsid w:val="0070163C"/>
    <w:rsid w:val="00710600"/>
    <w:rsid w:val="0071543B"/>
    <w:rsid w:val="00715B30"/>
    <w:rsid w:val="00721EAB"/>
    <w:rsid w:val="00735633"/>
    <w:rsid w:val="007539A0"/>
    <w:rsid w:val="00775E0A"/>
    <w:rsid w:val="00784BCE"/>
    <w:rsid w:val="007948B4"/>
    <w:rsid w:val="007A1E3B"/>
    <w:rsid w:val="007A4CB7"/>
    <w:rsid w:val="007B47A1"/>
    <w:rsid w:val="007C43DA"/>
    <w:rsid w:val="007D6DFF"/>
    <w:rsid w:val="007E16B6"/>
    <w:rsid w:val="007E69C1"/>
    <w:rsid w:val="007E6C05"/>
    <w:rsid w:val="007F22A1"/>
    <w:rsid w:val="008028A6"/>
    <w:rsid w:val="008165E6"/>
    <w:rsid w:val="0081726D"/>
    <w:rsid w:val="00822943"/>
    <w:rsid w:val="008454C5"/>
    <w:rsid w:val="008551ED"/>
    <w:rsid w:val="00880C27"/>
    <w:rsid w:val="008940A6"/>
    <w:rsid w:val="00894D56"/>
    <w:rsid w:val="008A01C5"/>
    <w:rsid w:val="008A0240"/>
    <w:rsid w:val="008A38B4"/>
    <w:rsid w:val="008B0DEA"/>
    <w:rsid w:val="008B53D3"/>
    <w:rsid w:val="008D028C"/>
    <w:rsid w:val="008D3F3C"/>
    <w:rsid w:val="008D6829"/>
    <w:rsid w:val="008E08C7"/>
    <w:rsid w:val="008E350F"/>
    <w:rsid w:val="008E66AA"/>
    <w:rsid w:val="008F5551"/>
    <w:rsid w:val="00907F25"/>
    <w:rsid w:val="009210B9"/>
    <w:rsid w:val="00935EA2"/>
    <w:rsid w:val="00937F0A"/>
    <w:rsid w:val="009436AA"/>
    <w:rsid w:val="00944E53"/>
    <w:rsid w:val="009528D6"/>
    <w:rsid w:val="0095501D"/>
    <w:rsid w:val="00956E20"/>
    <w:rsid w:val="00976BD4"/>
    <w:rsid w:val="009837A7"/>
    <w:rsid w:val="009879F9"/>
    <w:rsid w:val="00987B8A"/>
    <w:rsid w:val="00996E97"/>
    <w:rsid w:val="009A0386"/>
    <w:rsid w:val="009A50F5"/>
    <w:rsid w:val="009A61BD"/>
    <w:rsid w:val="009B0753"/>
    <w:rsid w:val="009C78D4"/>
    <w:rsid w:val="009D35FA"/>
    <w:rsid w:val="009E283F"/>
    <w:rsid w:val="009E6BA7"/>
    <w:rsid w:val="009E73A4"/>
    <w:rsid w:val="009F34EE"/>
    <w:rsid w:val="009F5C76"/>
    <w:rsid w:val="00A0170E"/>
    <w:rsid w:val="00A0219E"/>
    <w:rsid w:val="00A13C6E"/>
    <w:rsid w:val="00A208CB"/>
    <w:rsid w:val="00A22963"/>
    <w:rsid w:val="00A24376"/>
    <w:rsid w:val="00A33715"/>
    <w:rsid w:val="00A34683"/>
    <w:rsid w:val="00A3539B"/>
    <w:rsid w:val="00A3760F"/>
    <w:rsid w:val="00A46F82"/>
    <w:rsid w:val="00A708D6"/>
    <w:rsid w:val="00A768A3"/>
    <w:rsid w:val="00A77C07"/>
    <w:rsid w:val="00A85098"/>
    <w:rsid w:val="00A8561D"/>
    <w:rsid w:val="00AA2F68"/>
    <w:rsid w:val="00AB13A5"/>
    <w:rsid w:val="00AB28CF"/>
    <w:rsid w:val="00AB3D03"/>
    <w:rsid w:val="00AC37B9"/>
    <w:rsid w:val="00AD1278"/>
    <w:rsid w:val="00AD3462"/>
    <w:rsid w:val="00AD3DBF"/>
    <w:rsid w:val="00AD62F8"/>
    <w:rsid w:val="00AE16EE"/>
    <w:rsid w:val="00B112D6"/>
    <w:rsid w:val="00B36EC1"/>
    <w:rsid w:val="00B37778"/>
    <w:rsid w:val="00B54BAE"/>
    <w:rsid w:val="00B70331"/>
    <w:rsid w:val="00B81F14"/>
    <w:rsid w:val="00BA355E"/>
    <w:rsid w:val="00BA3652"/>
    <w:rsid w:val="00BC69B9"/>
    <w:rsid w:val="00BC7A62"/>
    <w:rsid w:val="00BD0018"/>
    <w:rsid w:val="00BD1B7E"/>
    <w:rsid w:val="00BD34FD"/>
    <w:rsid w:val="00BD654F"/>
    <w:rsid w:val="00BE3795"/>
    <w:rsid w:val="00BE6C20"/>
    <w:rsid w:val="00BF1268"/>
    <w:rsid w:val="00BF4C5E"/>
    <w:rsid w:val="00C00243"/>
    <w:rsid w:val="00C0395F"/>
    <w:rsid w:val="00C05EF9"/>
    <w:rsid w:val="00C16AAF"/>
    <w:rsid w:val="00C20DF3"/>
    <w:rsid w:val="00C3192E"/>
    <w:rsid w:val="00C43DDA"/>
    <w:rsid w:val="00C448ED"/>
    <w:rsid w:val="00C459EF"/>
    <w:rsid w:val="00C4710B"/>
    <w:rsid w:val="00C47308"/>
    <w:rsid w:val="00C57B5A"/>
    <w:rsid w:val="00C643B2"/>
    <w:rsid w:val="00CB45B2"/>
    <w:rsid w:val="00CC2D9A"/>
    <w:rsid w:val="00CC6F4B"/>
    <w:rsid w:val="00CD34CF"/>
    <w:rsid w:val="00CD46BC"/>
    <w:rsid w:val="00CE4C5A"/>
    <w:rsid w:val="00CE6DE8"/>
    <w:rsid w:val="00CF37EC"/>
    <w:rsid w:val="00CF61FC"/>
    <w:rsid w:val="00CF76B7"/>
    <w:rsid w:val="00D01006"/>
    <w:rsid w:val="00D07A39"/>
    <w:rsid w:val="00D12ACC"/>
    <w:rsid w:val="00D178E2"/>
    <w:rsid w:val="00D27141"/>
    <w:rsid w:val="00D27768"/>
    <w:rsid w:val="00D30E2D"/>
    <w:rsid w:val="00D36576"/>
    <w:rsid w:val="00D3662F"/>
    <w:rsid w:val="00D37E45"/>
    <w:rsid w:val="00D50BF8"/>
    <w:rsid w:val="00D52DE2"/>
    <w:rsid w:val="00D5466A"/>
    <w:rsid w:val="00D60F1E"/>
    <w:rsid w:val="00D61594"/>
    <w:rsid w:val="00D62DDE"/>
    <w:rsid w:val="00D63635"/>
    <w:rsid w:val="00D7337D"/>
    <w:rsid w:val="00D7408D"/>
    <w:rsid w:val="00D84B8B"/>
    <w:rsid w:val="00D86D62"/>
    <w:rsid w:val="00D86E37"/>
    <w:rsid w:val="00D920F0"/>
    <w:rsid w:val="00DB091A"/>
    <w:rsid w:val="00DB6039"/>
    <w:rsid w:val="00DC3D9D"/>
    <w:rsid w:val="00DD1AD4"/>
    <w:rsid w:val="00DE0F9C"/>
    <w:rsid w:val="00DE4ABB"/>
    <w:rsid w:val="00DF72CD"/>
    <w:rsid w:val="00E02E56"/>
    <w:rsid w:val="00E0402A"/>
    <w:rsid w:val="00E3420C"/>
    <w:rsid w:val="00E34CD1"/>
    <w:rsid w:val="00E36056"/>
    <w:rsid w:val="00E45770"/>
    <w:rsid w:val="00E565BD"/>
    <w:rsid w:val="00E61D38"/>
    <w:rsid w:val="00E6558C"/>
    <w:rsid w:val="00E72444"/>
    <w:rsid w:val="00E75042"/>
    <w:rsid w:val="00E77C0E"/>
    <w:rsid w:val="00E810C8"/>
    <w:rsid w:val="00E917E1"/>
    <w:rsid w:val="00E9287D"/>
    <w:rsid w:val="00E96051"/>
    <w:rsid w:val="00EA06EB"/>
    <w:rsid w:val="00EA4E85"/>
    <w:rsid w:val="00EA7630"/>
    <w:rsid w:val="00EA7AC8"/>
    <w:rsid w:val="00ED13E7"/>
    <w:rsid w:val="00ED5E4C"/>
    <w:rsid w:val="00EE0284"/>
    <w:rsid w:val="00EE2172"/>
    <w:rsid w:val="00EE222C"/>
    <w:rsid w:val="00EE4627"/>
    <w:rsid w:val="00EE47A1"/>
    <w:rsid w:val="00EE53FA"/>
    <w:rsid w:val="00F100F9"/>
    <w:rsid w:val="00F10277"/>
    <w:rsid w:val="00F11F23"/>
    <w:rsid w:val="00F1550B"/>
    <w:rsid w:val="00F2104E"/>
    <w:rsid w:val="00F23077"/>
    <w:rsid w:val="00F37489"/>
    <w:rsid w:val="00F45364"/>
    <w:rsid w:val="00F563C1"/>
    <w:rsid w:val="00F800E7"/>
    <w:rsid w:val="00F834A4"/>
    <w:rsid w:val="00F87FB6"/>
    <w:rsid w:val="00F90BBA"/>
    <w:rsid w:val="00F91557"/>
    <w:rsid w:val="00F960C8"/>
    <w:rsid w:val="00FA42B1"/>
    <w:rsid w:val="00FB4534"/>
    <w:rsid w:val="00FB647E"/>
    <w:rsid w:val="00FC530E"/>
    <w:rsid w:val="00FE08DC"/>
    <w:rsid w:val="00FF4CA2"/>
    <w:rsid w:val="070D6489"/>
    <w:rsid w:val="076843DB"/>
    <w:rsid w:val="076D4089"/>
    <w:rsid w:val="0A175BB6"/>
    <w:rsid w:val="0E4CCD3D"/>
    <w:rsid w:val="14F4C6B8"/>
    <w:rsid w:val="15E0A1B9"/>
    <w:rsid w:val="19F3FF40"/>
    <w:rsid w:val="1BBFB74E"/>
    <w:rsid w:val="1CF31386"/>
    <w:rsid w:val="211D164F"/>
    <w:rsid w:val="217D3AA3"/>
    <w:rsid w:val="2BDF1B6B"/>
    <w:rsid w:val="2CAC38A2"/>
    <w:rsid w:val="2EEB3F9F"/>
    <w:rsid w:val="30889AFA"/>
    <w:rsid w:val="309374E5"/>
    <w:rsid w:val="33E927ED"/>
    <w:rsid w:val="3574F78B"/>
    <w:rsid w:val="3A19AC61"/>
    <w:rsid w:val="3AD4B1E7"/>
    <w:rsid w:val="3AEC4C68"/>
    <w:rsid w:val="3B8C1C5B"/>
    <w:rsid w:val="3BDD75DB"/>
    <w:rsid w:val="422FCA17"/>
    <w:rsid w:val="4341B3FA"/>
    <w:rsid w:val="4513B021"/>
    <w:rsid w:val="46AF8082"/>
    <w:rsid w:val="471DC83D"/>
    <w:rsid w:val="47B87955"/>
    <w:rsid w:val="4CC0D58B"/>
    <w:rsid w:val="4F342598"/>
    <w:rsid w:val="4F84C3C1"/>
    <w:rsid w:val="5220744C"/>
    <w:rsid w:val="54012B02"/>
    <w:rsid w:val="55754097"/>
    <w:rsid w:val="5608DD7A"/>
    <w:rsid w:val="5B617CD8"/>
    <w:rsid w:val="5E188939"/>
    <w:rsid w:val="61EE9819"/>
    <w:rsid w:val="634E285F"/>
    <w:rsid w:val="634EB130"/>
    <w:rsid w:val="65857135"/>
    <w:rsid w:val="66A3A5BC"/>
    <w:rsid w:val="66B65046"/>
    <w:rsid w:val="67A2C46F"/>
    <w:rsid w:val="68BADB0C"/>
    <w:rsid w:val="6A3D71FD"/>
    <w:rsid w:val="6B594904"/>
    <w:rsid w:val="6F774203"/>
    <w:rsid w:val="70BBC349"/>
    <w:rsid w:val="71BEE818"/>
    <w:rsid w:val="725793AA"/>
    <w:rsid w:val="75702710"/>
    <w:rsid w:val="75DAD56E"/>
    <w:rsid w:val="76EE0C26"/>
    <w:rsid w:val="77FA2D7E"/>
    <w:rsid w:val="78582C71"/>
    <w:rsid w:val="795B0362"/>
    <w:rsid w:val="7E4AC9ED"/>
    <w:rsid w:val="7FBAD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907F25"/>
    <w:pPr>
      <w:keepNext/>
      <w:keepLines/>
      <w:spacing w:before="240" w:after="240" w:line="257"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styleId="Mention">
    <w:name w:val="Mention"/>
    <w:basedOn w:val="DefaultParagraphFont"/>
    <w:uiPriority w:val="99"/>
    <w:unhideWhenUsed/>
    <w:rsid w:val="00060762"/>
    <w:rPr>
      <w:color w:val="2B579A"/>
      <w:shd w:val="clear" w:color="auto" w:fill="E1DFDD"/>
    </w:rPr>
  </w:style>
  <w:style w:type="character" w:customStyle="1" w:styleId="Heading1Char">
    <w:name w:val="Heading 1 Char"/>
    <w:basedOn w:val="DefaultParagraphFont"/>
    <w:link w:val="Heading1"/>
    <w:uiPriority w:val="9"/>
    <w:rsid w:val="00C00243"/>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E4577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E45770"/>
    <w:rPr>
      <w:rFonts w:ascii="Times New Roman" w:eastAsia="Times New Roman" w:hAnsi="Times New Roman" w:cs="Times New Roman"/>
      <w:sz w:val="20"/>
      <w:szCs w:val="20"/>
    </w:rPr>
  </w:style>
  <w:style w:type="character" w:styleId="EndnoteReference">
    <w:name w:val="endnote reference"/>
    <w:basedOn w:val="DefaultParagraphFont"/>
    <w:uiPriority w:val="99"/>
    <w:unhideWhenUsed/>
    <w:rsid w:val="00E45770"/>
    <w:rPr>
      <w:vertAlign w:val="superscript"/>
    </w:rPr>
  </w:style>
  <w:style w:type="character" w:styleId="Hyperlink">
    <w:name w:val="Hyperlink"/>
    <w:basedOn w:val="DefaultParagraphFont"/>
    <w:uiPriority w:val="99"/>
    <w:unhideWhenUsed/>
    <w:qFormat/>
    <w:rsid w:val="00E45770"/>
    <w:rPr>
      <w:color w:val="0563C1" w:themeColor="hyperlink"/>
      <w:u w:val="single"/>
    </w:rPr>
  </w:style>
  <w:style w:type="character" w:customStyle="1" w:styleId="cf01">
    <w:name w:val="cf01"/>
    <w:basedOn w:val="DefaultParagraphFont"/>
    <w:rsid w:val="00E45770"/>
    <w:rPr>
      <w:rFonts w:ascii="Segoe UI" w:hAnsi="Segoe UI" w:cs="Segoe UI" w:hint="default"/>
      <w:sz w:val="18"/>
      <w:szCs w:val="18"/>
    </w:rPr>
  </w:style>
  <w:style w:type="character" w:customStyle="1" w:styleId="cf11">
    <w:name w:val="cf11"/>
    <w:basedOn w:val="DefaultParagraphFont"/>
    <w:rsid w:val="00E45770"/>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3F5C75"/>
    <w:rPr>
      <w:color w:val="605E5C"/>
      <w:shd w:val="clear" w:color="auto" w:fill="E1DFDD"/>
    </w:rPr>
  </w:style>
  <w:style w:type="paragraph" w:customStyle="1" w:styleId="paragraph">
    <w:name w:val="paragraph"/>
    <w:basedOn w:val="Normal"/>
    <w:rsid w:val="00A337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33715"/>
  </w:style>
  <w:style w:type="character" w:customStyle="1" w:styleId="eop">
    <w:name w:val="eop"/>
    <w:basedOn w:val="DefaultParagraphFont"/>
    <w:rsid w:val="00A33715"/>
  </w:style>
  <w:style w:type="character" w:customStyle="1" w:styleId="findhit">
    <w:name w:val="findhit"/>
    <w:basedOn w:val="DefaultParagraphFont"/>
    <w:rsid w:val="00D17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6937">
      <w:bodyDiv w:val="1"/>
      <w:marLeft w:val="0"/>
      <w:marRight w:val="0"/>
      <w:marTop w:val="0"/>
      <w:marBottom w:val="0"/>
      <w:divBdr>
        <w:top w:val="none" w:sz="0" w:space="0" w:color="auto"/>
        <w:left w:val="none" w:sz="0" w:space="0" w:color="auto"/>
        <w:bottom w:val="none" w:sz="0" w:space="0" w:color="auto"/>
        <w:right w:val="none" w:sz="0" w:space="0" w:color="auto"/>
      </w:divBdr>
      <w:divsChild>
        <w:div w:id="1385107179">
          <w:marLeft w:val="0"/>
          <w:marRight w:val="0"/>
          <w:marTop w:val="0"/>
          <w:marBottom w:val="0"/>
          <w:divBdr>
            <w:top w:val="none" w:sz="0" w:space="0" w:color="auto"/>
            <w:left w:val="none" w:sz="0" w:space="0" w:color="auto"/>
            <w:bottom w:val="none" w:sz="0" w:space="0" w:color="auto"/>
            <w:right w:val="none" w:sz="0" w:space="0" w:color="auto"/>
          </w:divBdr>
        </w:div>
        <w:div w:id="1457598919">
          <w:marLeft w:val="0"/>
          <w:marRight w:val="0"/>
          <w:marTop w:val="0"/>
          <w:marBottom w:val="0"/>
          <w:divBdr>
            <w:top w:val="none" w:sz="0" w:space="0" w:color="auto"/>
            <w:left w:val="none" w:sz="0" w:space="0" w:color="auto"/>
            <w:bottom w:val="none" w:sz="0" w:space="0" w:color="auto"/>
            <w:right w:val="none" w:sz="0" w:space="0" w:color="auto"/>
          </w:divBdr>
        </w:div>
        <w:div w:id="784891287">
          <w:marLeft w:val="0"/>
          <w:marRight w:val="0"/>
          <w:marTop w:val="0"/>
          <w:marBottom w:val="0"/>
          <w:divBdr>
            <w:top w:val="none" w:sz="0" w:space="0" w:color="auto"/>
            <w:left w:val="none" w:sz="0" w:space="0" w:color="auto"/>
            <w:bottom w:val="none" w:sz="0" w:space="0" w:color="auto"/>
            <w:right w:val="none" w:sz="0" w:space="0" w:color="auto"/>
          </w:divBdr>
        </w:div>
        <w:div w:id="683361935">
          <w:marLeft w:val="0"/>
          <w:marRight w:val="0"/>
          <w:marTop w:val="0"/>
          <w:marBottom w:val="0"/>
          <w:divBdr>
            <w:top w:val="none" w:sz="0" w:space="0" w:color="auto"/>
            <w:left w:val="none" w:sz="0" w:space="0" w:color="auto"/>
            <w:bottom w:val="none" w:sz="0" w:space="0" w:color="auto"/>
            <w:right w:val="none" w:sz="0" w:space="0" w:color="auto"/>
          </w:divBdr>
        </w:div>
        <w:div w:id="2098401263">
          <w:marLeft w:val="0"/>
          <w:marRight w:val="0"/>
          <w:marTop w:val="0"/>
          <w:marBottom w:val="0"/>
          <w:divBdr>
            <w:top w:val="none" w:sz="0" w:space="0" w:color="auto"/>
            <w:left w:val="none" w:sz="0" w:space="0" w:color="auto"/>
            <w:bottom w:val="none" w:sz="0" w:space="0" w:color="auto"/>
            <w:right w:val="none" w:sz="0" w:space="0" w:color="auto"/>
          </w:divBdr>
        </w:div>
        <w:div w:id="1283801381">
          <w:marLeft w:val="0"/>
          <w:marRight w:val="0"/>
          <w:marTop w:val="0"/>
          <w:marBottom w:val="0"/>
          <w:divBdr>
            <w:top w:val="none" w:sz="0" w:space="0" w:color="auto"/>
            <w:left w:val="none" w:sz="0" w:space="0" w:color="auto"/>
            <w:bottom w:val="none" w:sz="0" w:space="0" w:color="auto"/>
            <w:right w:val="none" w:sz="0" w:space="0" w:color="auto"/>
          </w:divBdr>
        </w:div>
        <w:div w:id="852457403">
          <w:marLeft w:val="0"/>
          <w:marRight w:val="0"/>
          <w:marTop w:val="0"/>
          <w:marBottom w:val="0"/>
          <w:divBdr>
            <w:top w:val="none" w:sz="0" w:space="0" w:color="auto"/>
            <w:left w:val="none" w:sz="0" w:space="0" w:color="auto"/>
            <w:bottom w:val="none" w:sz="0" w:space="0" w:color="auto"/>
            <w:right w:val="none" w:sz="0" w:space="0" w:color="auto"/>
          </w:divBdr>
        </w:div>
        <w:div w:id="2053265992">
          <w:marLeft w:val="0"/>
          <w:marRight w:val="0"/>
          <w:marTop w:val="0"/>
          <w:marBottom w:val="0"/>
          <w:divBdr>
            <w:top w:val="none" w:sz="0" w:space="0" w:color="auto"/>
            <w:left w:val="none" w:sz="0" w:space="0" w:color="auto"/>
            <w:bottom w:val="none" w:sz="0" w:space="0" w:color="auto"/>
            <w:right w:val="none" w:sz="0" w:space="0" w:color="auto"/>
          </w:divBdr>
        </w:div>
        <w:div w:id="1138036107">
          <w:marLeft w:val="0"/>
          <w:marRight w:val="0"/>
          <w:marTop w:val="0"/>
          <w:marBottom w:val="0"/>
          <w:divBdr>
            <w:top w:val="none" w:sz="0" w:space="0" w:color="auto"/>
            <w:left w:val="none" w:sz="0" w:space="0" w:color="auto"/>
            <w:bottom w:val="none" w:sz="0" w:space="0" w:color="auto"/>
            <w:right w:val="none" w:sz="0" w:space="0" w:color="auto"/>
          </w:divBdr>
        </w:div>
        <w:div w:id="644504045">
          <w:marLeft w:val="0"/>
          <w:marRight w:val="0"/>
          <w:marTop w:val="0"/>
          <w:marBottom w:val="0"/>
          <w:divBdr>
            <w:top w:val="none" w:sz="0" w:space="0" w:color="auto"/>
            <w:left w:val="none" w:sz="0" w:space="0" w:color="auto"/>
            <w:bottom w:val="none" w:sz="0" w:space="0" w:color="auto"/>
            <w:right w:val="none" w:sz="0" w:space="0" w:color="auto"/>
          </w:divBdr>
        </w:div>
        <w:div w:id="1778019079">
          <w:marLeft w:val="0"/>
          <w:marRight w:val="0"/>
          <w:marTop w:val="0"/>
          <w:marBottom w:val="0"/>
          <w:divBdr>
            <w:top w:val="none" w:sz="0" w:space="0" w:color="auto"/>
            <w:left w:val="none" w:sz="0" w:space="0" w:color="auto"/>
            <w:bottom w:val="none" w:sz="0" w:space="0" w:color="auto"/>
            <w:right w:val="none" w:sz="0" w:space="0" w:color="auto"/>
          </w:divBdr>
        </w:div>
      </w:divsChild>
    </w:div>
    <w:div w:id="390732716">
      <w:bodyDiv w:val="1"/>
      <w:marLeft w:val="0"/>
      <w:marRight w:val="0"/>
      <w:marTop w:val="0"/>
      <w:marBottom w:val="0"/>
      <w:divBdr>
        <w:top w:val="none" w:sz="0" w:space="0" w:color="auto"/>
        <w:left w:val="none" w:sz="0" w:space="0" w:color="auto"/>
        <w:bottom w:val="none" w:sz="0" w:space="0" w:color="auto"/>
        <w:right w:val="none" w:sz="0" w:space="0" w:color="auto"/>
      </w:divBdr>
    </w:div>
    <w:div w:id="430400599">
      <w:bodyDiv w:val="1"/>
      <w:marLeft w:val="0"/>
      <w:marRight w:val="0"/>
      <w:marTop w:val="0"/>
      <w:marBottom w:val="0"/>
      <w:divBdr>
        <w:top w:val="none" w:sz="0" w:space="0" w:color="auto"/>
        <w:left w:val="none" w:sz="0" w:space="0" w:color="auto"/>
        <w:bottom w:val="none" w:sz="0" w:space="0" w:color="auto"/>
        <w:right w:val="none" w:sz="0" w:space="0" w:color="auto"/>
      </w:divBdr>
    </w:div>
    <w:div w:id="473445785">
      <w:bodyDiv w:val="1"/>
      <w:marLeft w:val="0"/>
      <w:marRight w:val="0"/>
      <w:marTop w:val="0"/>
      <w:marBottom w:val="0"/>
      <w:divBdr>
        <w:top w:val="none" w:sz="0" w:space="0" w:color="auto"/>
        <w:left w:val="none" w:sz="0" w:space="0" w:color="auto"/>
        <w:bottom w:val="none" w:sz="0" w:space="0" w:color="auto"/>
        <w:right w:val="none" w:sz="0" w:space="0" w:color="auto"/>
      </w:divBdr>
      <w:divsChild>
        <w:div w:id="1050610658">
          <w:marLeft w:val="0"/>
          <w:marRight w:val="0"/>
          <w:marTop w:val="0"/>
          <w:marBottom w:val="0"/>
          <w:divBdr>
            <w:top w:val="none" w:sz="0" w:space="0" w:color="auto"/>
            <w:left w:val="none" w:sz="0" w:space="0" w:color="auto"/>
            <w:bottom w:val="none" w:sz="0" w:space="0" w:color="auto"/>
            <w:right w:val="none" w:sz="0" w:space="0" w:color="auto"/>
          </w:divBdr>
        </w:div>
        <w:div w:id="1965426726">
          <w:marLeft w:val="0"/>
          <w:marRight w:val="0"/>
          <w:marTop w:val="0"/>
          <w:marBottom w:val="0"/>
          <w:divBdr>
            <w:top w:val="none" w:sz="0" w:space="0" w:color="auto"/>
            <w:left w:val="none" w:sz="0" w:space="0" w:color="auto"/>
            <w:bottom w:val="none" w:sz="0" w:space="0" w:color="auto"/>
            <w:right w:val="none" w:sz="0" w:space="0" w:color="auto"/>
          </w:divBdr>
        </w:div>
        <w:div w:id="504249129">
          <w:marLeft w:val="0"/>
          <w:marRight w:val="0"/>
          <w:marTop w:val="0"/>
          <w:marBottom w:val="0"/>
          <w:divBdr>
            <w:top w:val="none" w:sz="0" w:space="0" w:color="auto"/>
            <w:left w:val="none" w:sz="0" w:space="0" w:color="auto"/>
            <w:bottom w:val="none" w:sz="0" w:space="0" w:color="auto"/>
            <w:right w:val="none" w:sz="0" w:space="0" w:color="auto"/>
          </w:divBdr>
        </w:div>
      </w:divsChild>
    </w:div>
    <w:div w:id="1159688693">
      <w:bodyDiv w:val="1"/>
      <w:marLeft w:val="0"/>
      <w:marRight w:val="0"/>
      <w:marTop w:val="0"/>
      <w:marBottom w:val="0"/>
      <w:divBdr>
        <w:top w:val="none" w:sz="0" w:space="0" w:color="auto"/>
        <w:left w:val="none" w:sz="0" w:space="0" w:color="auto"/>
        <w:bottom w:val="none" w:sz="0" w:space="0" w:color="auto"/>
        <w:right w:val="none" w:sz="0" w:space="0" w:color="auto"/>
      </w:divBdr>
      <w:divsChild>
        <w:div w:id="2129547503">
          <w:marLeft w:val="0"/>
          <w:marRight w:val="0"/>
          <w:marTop w:val="0"/>
          <w:marBottom w:val="0"/>
          <w:divBdr>
            <w:top w:val="none" w:sz="0" w:space="0" w:color="auto"/>
            <w:left w:val="none" w:sz="0" w:space="0" w:color="auto"/>
            <w:bottom w:val="none" w:sz="0" w:space="0" w:color="auto"/>
            <w:right w:val="none" w:sz="0" w:space="0" w:color="auto"/>
          </w:divBdr>
        </w:div>
        <w:div w:id="227888068">
          <w:marLeft w:val="0"/>
          <w:marRight w:val="0"/>
          <w:marTop w:val="0"/>
          <w:marBottom w:val="0"/>
          <w:divBdr>
            <w:top w:val="none" w:sz="0" w:space="0" w:color="auto"/>
            <w:left w:val="none" w:sz="0" w:space="0" w:color="auto"/>
            <w:bottom w:val="none" w:sz="0" w:space="0" w:color="auto"/>
            <w:right w:val="none" w:sz="0" w:space="0" w:color="auto"/>
          </w:divBdr>
        </w:div>
        <w:div w:id="1008798353">
          <w:marLeft w:val="0"/>
          <w:marRight w:val="0"/>
          <w:marTop w:val="0"/>
          <w:marBottom w:val="0"/>
          <w:divBdr>
            <w:top w:val="none" w:sz="0" w:space="0" w:color="auto"/>
            <w:left w:val="none" w:sz="0" w:space="0" w:color="auto"/>
            <w:bottom w:val="none" w:sz="0" w:space="0" w:color="auto"/>
            <w:right w:val="none" w:sz="0" w:space="0" w:color="auto"/>
          </w:divBdr>
        </w:div>
        <w:div w:id="1881240597">
          <w:marLeft w:val="0"/>
          <w:marRight w:val="0"/>
          <w:marTop w:val="0"/>
          <w:marBottom w:val="0"/>
          <w:divBdr>
            <w:top w:val="none" w:sz="0" w:space="0" w:color="auto"/>
            <w:left w:val="none" w:sz="0" w:space="0" w:color="auto"/>
            <w:bottom w:val="none" w:sz="0" w:space="0" w:color="auto"/>
            <w:right w:val="none" w:sz="0" w:space="0" w:color="auto"/>
          </w:divBdr>
        </w:div>
        <w:div w:id="2137794605">
          <w:marLeft w:val="0"/>
          <w:marRight w:val="0"/>
          <w:marTop w:val="0"/>
          <w:marBottom w:val="0"/>
          <w:divBdr>
            <w:top w:val="none" w:sz="0" w:space="0" w:color="auto"/>
            <w:left w:val="none" w:sz="0" w:space="0" w:color="auto"/>
            <w:bottom w:val="none" w:sz="0" w:space="0" w:color="auto"/>
            <w:right w:val="none" w:sz="0" w:space="0" w:color="auto"/>
          </w:divBdr>
        </w:div>
        <w:div w:id="1505126935">
          <w:marLeft w:val="0"/>
          <w:marRight w:val="0"/>
          <w:marTop w:val="0"/>
          <w:marBottom w:val="0"/>
          <w:divBdr>
            <w:top w:val="none" w:sz="0" w:space="0" w:color="auto"/>
            <w:left w:val="none" w:sz="0" w:space="0" w:color="auto"/>
            <w:bottom w:val="none" w:sz="0" w:space="0" w:color="auto"/>
            <w:right w:val="none" w:sz="0" w:space="0" w:color="auto"/>
          </w:divBdr>
        </w:div>
        <w:div w:id="281419889">
          <w:marLeft w:val="0"/>
          <w:marRight w:val="0"/>
          <w:marTop w:val="0"/>
          <w:marBottom w:val="0"/>
          <w:divBdr>
            <w:top w:val="none" w:sz="0" w:space="0" w:color="auto"/>
            <w:left w:val="none" w:sz="0" w:space="0" w:color="auto"/>
            <w:bottom w:val="none" w:sz="0" w:space="0" w:color="auto"/>
            <w:right w:val="none" w:sz="0" w:space="0" w:color="auto"/>
          </w:divBdr>
        </w:div>
        <w:div w:id="602614823">
          <w:marLeft w:val="0"/>
          <w:marRight w:val="0"/>
          <w:marTop w:val="0"/>
          <w:marBottom w:val="0"/>
          <w:divBdr>
            <w:top w:val="none" w:sz="0" w:space="0" w:color="auto"/>
            <w:left w:val="none" w:sz="0" w:space="0" w:color="auto"/>
            <w:bottom w:val="none" w:sz="0" w:space="0" w:color="auto"/>
            <w:right w:val="none" w:sz="0" w:space="0" w:color="auto"/>
          </w:divBdr>
        </w:div>
        <w:div w:id="1806698208">
          <w:marLeft w:val="0"/>
          <w:marRight w:val="0"/>
          <w:marTop w:val="0"/>
          <w:marBottom w:val="0"/>
          <w:divBdr>
            <w:top w:val="none" w:sz="0" w:space="0" w:color="auto"/>
            <w:left w:val="none" w:sz="0" w:space="0" w:color="auto"/>
            <w:bottom w:val="none" w:sz="0" w:space="0" w:color="auto"/>
            <w:right w:val="none" w:sz="0" w:space="0" w:color="auto"/>
          </w:divBdr>
        </w:div>
        <w:div w:id="1410999678">
          <w:marLeft w:val="0"/>
          <w:marRight w:val="0"/>
          <w:marTop w:val="0"/>
          <w:marBottom w:val="0"/>
          <w:divBdr>
            <w:top w:val="none" w:sz="0" w:space="0" w:color="auto"/>
            <w:left w:val="none" w:sz="0" w:space="0" w:color="auto"/>
            <w:bottom w:val="none" w:sz="0" w:space="0" w:color="auto"/>
            <w:right w:val="none" w:sz="0" w:space="0" w:color="auto"/>
          </w:divBdr>
        </w:div>
        <w:div w:id="1851987508">
          <w:marLeft w:val="0"/>
          <w:marRight w:val="0"/>
          <w:marTop w:val="0"/>
          <w:marBottom w:val="0"/>
          <w:divBdr>
            <w:top w:val="none" w:sz="0" w:space="0" w:color="auto"/>
            <w:left w:val="none" w:sz="0" w:space="0" w:color="auto"/>
            <w:bottom w:val="none" w:sz="0" w:space="0" w:color="auto"/>
            <w:right w:val="none" w:sz="0" w:space="0" w:color="auto"/>
          </w:divBdr>
        </w:div>
      </w:divsChild>
    </w:div>
    <w:div w:id="1842044279">
      <w:bodyDiv w:val="1"/>
      <w:marLeft w:val="0"/>
      <w:marRight w:val="0"/>
      <w:marTop w:val="0"/>
      <w:marBottom w:val="0"/>
      <w:divBdr>
        <w:top w:val="none" w:sz="0" w:space="0" w:color="auto"/>
        <w:left w:val="none" w:sz="0" w:space="0" w:color="auto"/>
        <w:bottom w:val="none" w:sz="0" w:space="0" w:color="auto"/>
        <w:right w:val="none" w:sz="0" w:space="0" w:color="auto"/>
      </w:divBdr>
    </w:div>
    <w:div w:id="1915165562">
      <w:bodyDiv w:val="1"/>
      <w:marLeft w:val="0"/>
      <w:marRight w:val="0"/>
      <w:marTop w:val="0"/>
      <w:marBottom w:val="0"/>
      <w:divBdr>
        <w:top w:val="none" w:sz="0" w:space="0" w:color="auto"/>
        <w:left w:val="none" w:sz="0" w:space="0" w:color="auto"/>
        <w:bottom w:val="none" w:sz="0" w:space="0" w:color="auto"/>
        <w:right w:val="none" w:sz="0" w:space="0" w:color="auto"/>
      </w:divBdr>
      <w:divsChild>
        <w:div w:id="1377119784">
          <w:marLeft w:val="0"/>
          <w:marRight w:val="0"/>
          <w:marTop w:val="0"/>
          <w:marBottom w:val="0"/>
          <w:divBdr>
            <w:top w:val="none" w:sz="0" w:space="0" w:color="auto"/>
            <w:left w:val="none" w:sz="0" w:space="0" w:color="auto"/>
            <w:bottom w:val="none" w:sz="0" w:space="0" w:color="auto"/>
            <w:right w:val="none" w:sz="0" w:space="0" w:color="auto"/>
          </w:divBdr>
        </w:div>
        <w:div w:id="1094210019">
          <w:marLeft w:val="0"/>
          <w:marRight w:val="0"/>
          <w:marTop w:val="0"/>
          <w:marBottom w:val="0"/>
          <w:divBdr>
            <w:top w:val="none" w:sz="0" w:space="0" w:color="auto"/>
            <w:left w:val="none" w:sz="0" w:space="0" w:color="auto"/>
            <w:bottom w:val="none" w:sz="0" w:space="0" w:color="auto"/>
            <w:right w:val="none" w:sz="0" w:space="0" w:color="auto"/>
          </w:divBdr>
        </w:div>
        <w:div w:id="493760809">
          <w:marLeft w:val="0"/>
          <w:marRight w:val="0"/>
          <w:marTop w:val="0"/>
          <w:marBottom w:val="0"/>
          <w:divBdr>
            <w:top w:val="none" w:sz="0" w:space="0" w:color="auto"/>
            <w:left w:val="none" w:sz="0" w:space="0" w:color="auto"/>
            <w:bottom w:val="none" w:sz="0" w:space="0" w:color="auto"/>
            <w:right w:val="none" w:sz="0" w:space="0" w:color="auto"/>
          </w:divBdr>
        </w:div>
        <w:div w:id="76640232">
          <w:marLeft w:val="0"/>
          <w:marRight w:val="0"/>
          <w:marTop w:val="0"/>
          <w:marBottom w:val="0"/>
          <w:divBdr>
            <w:top w:val="none" w:sz="0" w:space="0" w:color="auto"/>
            <w:left w:val="none" w:sz="0" w:space="0" w:color="auto"/>
            <w:bottom w:val="none" w:sz="0" w:space="0" w:color="auto"/>
            <w:right w:val="none" w:sz="0" w:space="0" w:color="auto"/>
          </w:divBdr>
        </w:div>
        <w:div w:id="1105076130">
          <w:marLeft w:val="0"/>
          <w:marRight w:val="0"/>
          <w:marTop w:val="0"/>
          <w:marBottom w:val="0"/>
          <w:divBdr>
            <w:top w:val="none" w:sz="0" w:space="0" w:color="auto"/>
            <w:left w:val="none" w:sz="0" w:space="0" w:color="auto"/>
            <w:bottom w:val="none" w:sz="0" w:space="0" w:color="auto"/>
            <w:right w:val="none" w:sz="0" w:space="0" w:color="auto"/>
          </w:divBdr>
        </w:div>
        <w:div w:id="463430251">
          <w:marLeft w:val="0"/>
          <w:marRight w:val="0"/>
          <w:marTop w:val="0"/>
          <w:marBottom w:val="0"/>
          <w:divBdr>
            <w:top w:val="none" w:sz="0" w:space="0" w:color="auto"/>
            <w:left w:val="none" w:sz="0" w:space="0" w:color="auto"/>
            <w:bottom w:val="none" w:sz="0" w:space="0" w:color="auto"/>
            <w:right w:val="none" w:sz="0" w:space="0" w:color="auto"/>
          </w:divBdr>
        </w:div>
        <w:div w:id="1074746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56/NEJMp2215539" TargetMode="External"/><Relationship Id="rId18" Type="http://schemas.openxmlformats.org/officeDocument/2006/relationships/hyperlink" Target="https://www2.deloitte.com/content/dam/Deloitte/us/Documents/life-sciences-health-care/us-lshc-addressing-social-determinants-of-health.pdf" TargetMode="External"/><Relationship Id="rId26" Type="http://schemas.openxmlformats.org/officeDocument/2006/relationships/hyperlink" Target="https://doi.org/10.7812/TPP/18-092" TargetMode="External"/><Relationship Id="rId3" Type="http://schemas.openxmlformats.org/officeDocument/2006/relationships/customXml" Target="../customXml/item3.xml"/><Relationship Id="rId21" Type="http://schemas.openxmlformats.org/officeDocument/2006/relationships/hyperlink" Target="https://doi.org/10.1371/journal.pone.0247909" TargetMode="External"/><Relationship Id="rId7" Type="http://schemas.openxmlformats.org/officeDocument/2006/relationships/settings" Target="settings.xml"/><Relationship Id="rId12" Type="http://schemas.openxmlformats.org/officeDocument/2006/relationships/hyperlink" Target="https://www.cms.gov/Medicare/Quality-Initiatives-Patient-Assessment-Instruments/Value-Based-Programs/CMS-Quality-Strategy" TargetMode="External"/><Relationship Id="rId17" Type="http://schemas.openxmlformats.org/officeDocument/2006/relationships/hyperlink" Target="https://doi.org/10.1111/1475-6773.14220" TargetMode="External"/><Relationship Id="rId25" Type="http://schemas.openxmlformats.org/officeDocument/2006/relationships/hyperlink" Target="https://doi.org/10.2337/dc24-S001" TargetMode="External"/><Relationship Id="rId2" Type="http://schemas.openxmlformats.org/officeDocument/2006/relationships/customXml" Target="../customXml/item2.xml"/><Relationship Id="rId16" Type="http://schemas.openxmlformats.org/officeDocument/2006/relationships/hyperlink" Target="https://confluence.hl7.org/display/GRAV/The+Gravity+Project" TargetMode="External"/><Relationship Id="rId20" Type="http://schemas.openxmlformats.org/officeDocument/2006/relationships/hyperlink" Target="https://doi.org/10.17226/2546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337/dc21-S001" TargetMode="External"/><Relationship Id="rId24" Type="http://schemas.openxmlformats.org/officeDocument/2006/relationships/hyperlink" Target="https://doi.org/10.1097/AOG.0000000000002459" TargetMode="External"/><Relationship Id="rId5" Type="http://schemas.openxmlformats.org/officeDocument/2006/relationships/numbering" Target="numbering.xml"/><Relationship Id="rId15" Type="http://schemas.openxmlformats.org/officeDocument/2006/relationships/hyperlink" Target="https://www.ncqa.org/wp-content/uploads/2022/02/04.-SNS-E.pdf" TargetMode="External"/><Relationship Id="rId23" Type="http://schemas.openxmlformats.org/officeDocument/2006/relationships/hyperlink" Target="https://www.aafp.org/about/policies/all/social-determinants-health-family-medicine-position-paper.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oi.org/10.1186/s12913-022-07749-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affairs.org/content/forefront/lessons-five-years-cms-accountable-health-communities-model" TargetMode="External"/><Relationship Id="rId22" Type="http://schemas.openxmlformats.org/officeDocument/2006/relationships/hyperlink" Target="https://doi.org/10.1542/peds.2013-0645"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43034dc-0fad-4b77-8118-0541f337a771">
      <UserInfo>
        <DisplayName>Keshawarz, Amena</DisplayName>
        <AccountId>234</AccountId>
        <AccountType/>
      </UserInfo>
      <UserInfo>
        <DisplayName>Loarte-Rodriguez, Tina</DisplayName>
        <AccountId>258</AccountId>
        <AccountType/>
      </UserInfo>
      <UserInfo>
        <DisplayName>Triche, Elizabeth</DisplayName>
        <AccountId>83</AccountId>
        <AccountType/>
      </UserInfo>
      <UserInfo>
        <DisplayName>Villarreal, Brooke</DisplayName>
        <AccountId>269</AccountId>
        <AccountType/>
      </UserInfo>
      <UserInfo>
        <DisplayName>Altaf, Faseeha</DisplayName>
        <AccountId>20</AccountId>
        <AccountType/>
      </UserInfo>
      <UserInfo>
        <DisplayName>Dolce, Leianna</DisplayName>
        <AccountId>32</AccountId>
        <AccountType/>
      </UserInfo>
      <UserInfo>
        <DisplayName>Voll, Nicole</DisplayName>
        <AccountId>41</AccountId>
        <AccountType/>
      </UserInfo>
      <UserInfo>
        <DisplayName>O'Hare, Katherine</DisplayName>
        <AccountId>172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 ds:uri="643034dc-0fad-4b77-8118-0541f337a771"/>
  </ds:schemaRefs>
</ds:datastoreItem>
</file>

<file path=customXml/itemProps2.xml><?xml version="1.0" encoding="utf-8"?>
<ds:datastoreItem xmlns:ds="http://schemas.openxmlformats.org/officeDocument/2006/customXml" ds:itemID="{81383C2C-1C08-48CF-A270-3EC2D2299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B3276-BFD5-4259-BB44-AF34BA1D5F05}">
  <ds:schemaRefs>
    <ds:schemaRef ds:uri="http://schemas.openxmlformats.org/officeDocument/2006/bibliography"/>
  </ds:schemaRefs>
</ds:datastoreItem>
</file>

<file path=customXml/itemProps4.xml><?xml version="1.0" encoding="utf-8"?>
<ds:datastoreItem xmlns:ds="http://schemas.openxmlformats.org/officeDocument/2006/customXml" ds:itemID="{8CC69A8D-987E-405C-8201-0E2D0553A2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4040</Words>
  <Characters>23030</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2024 MIPS Peer-Reviewed Journal Article Requirement Template</vt:lpstr>
    </vt:vector>
  </TitlesOfParts>
  <Company/>
  <LinksUpToDate>false</LinksUpToDate>
  <CharactersWithSpaces>27016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MIPS Peer-Reviewed Journal Article Requirement Template</dc:title>
  <dc:subject>2024 MIPS Peer-Reviewed Journal Article Requirement Template</dc:subject>
  <dc:creator>Centers for Medicare &amp; Medicaid Services (CMS)</dc:creator>
  <cp:keywords>2024, MIPS, Peer-Reviewed Journal, Article Requirement, Template, MUC2024-072, evidence</cp:keywords>
  <dc:description/>
  <cp:lastModifiedBy>Wilson, Sara (US)</cp:lastModifiedBy>
  <cp:revision>156</cp:revision>
  <dcterms:created xsi:type="dcterms:W3CDTF">2024-01-31T15:15:00Z</dcterms:created>
  <dcterms:modified xsi:type="dcterms:W3CDTF">2024-08-09T16:27:00Z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y fmtid="{D5CDD505-2E9C-101B-9397-08002B2CF9AE}" pid="3" name="MediaServiceImageTags">
    <vt:lpwstr/>
  </property>
</Properties>
</file>