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37BC8" w14:textId="77777777" w:rsidR="00521C78" w:rsidRDefault="00521C78" w:rsidP="0004435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508729" w14:textId="28D2CBBA" w:rsidR="00521C78" w:rsidRPr="00D77898" w:rsidRDefault="00521C78" w:rsidP="00D77898">
      <w:pPr>
        <w:pStyle w:val="Heading1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77898">
        <w:rPr>
          <w:rFonts w:asciiTheme="minorHAnsi" w:hAnsiTheme="minorHAnsi" w:cstheme="minorHAnsi"/>
          <w:b/>
          <w:bCs/>
          <w:color w:val="auto"/>
          <w:sz w:val="22"/>
          <w:szCs w:val="22"/>
        </w:rPr>
        <w:t>Consensus Based Endorsement (CBE) History</w:t>
      </w:r>
    </w:p>
    <w:p w14:paraId="23994A08" w14:textId="77777777" w:rsidR="00521C78" w:rsidRDefault="00521C78" w:rsidP="00044356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717" w:type="dxa"/>
        <w:tblInd w:w="-815" w:type="dxa"/>
        <w:tblLook w:val="04A0" w:firstRow="1" w:lastRow="0" w:firstColumn="1" w:lastColumn="0" w:noHBand="0" w:noVBand="1"/>
      </w:tblPr>
      <w:tblGrid>
        <w:gridCol w:w="2148"/>
        <w:gridCol w:w="4523"/>
        <w:gridCol w:w="4046"/>
      </w:tblGrid>
      <w:tr w:rsidR="00CA6832" w14:paraId="2FCF6A6B" w14:textId="79FDF325" w:rsidTr="007E4171">
        <w:trPr>
          <w:trHeight w:val="476"/>
        </w:trPr>
        <w:tc>
          <w:tcPr>
            <w:tcW w:w="2148" w:type="dxa"/>
            <w:shd w:val="clear" w:color="auto" w:fill="EDEDED" w:themeFill="accent3" w:themeFillTint="33"/>
          </w:tcPr>
          <w:p w14:paraId="0DACF160" w14:textId="63C2ED13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Month/Year</w:t>
            </w:r>
          </w:p>
        </w:tc>
        <w:tc>
          <w:tcPr>
            <w:tcW w:w="4523" w:type="dxa"/>
            <w:shd w:val="clear" w:color="auto" w:fill="EDEDED" w:themeFill="accent3" w:themeFillTint="33"/>
          </w:tcPr>
          <w:p w14:paraId="3EB4A78C" w14:textId="0B68A2DC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Version of the measure</w:t>
            </w:r>
          </w:p>
        </w:tc>
        <w:tc>
          <w:tcPr>
            <w:tcW w:w="4046" w:type="dxa"/>
            <w:shd w:val="clear" w:color="auto" w:fill="EDEDED" w:themeFill="accent3" w:themeFillTint="33"/>
          </w:tcPr>
          <w:p w14:paraId="338C7E20" w14:textId="43BB96A8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Final Recommendation</w:t>
            </w:r>
          </w:p>
        </w:tc>
      </w:tr>
      <w:tr w:rsidR="00CA6832" w14:paraId="7860194F" w14:textId="77777777" w:rsidTr="007E4171">
        <w:trPr>
          <w:trHeight w:val="823"/>
        </w:trPr>
        <w:tc>
          <w:tcPr>
            <w:tcW w:w="2148" w:type="dxa"/>
          </w:tcPr>
          <w:p w14:paraId="26359BFD" w14:textId="26A5CFB3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November 2016</w:t>
            </w:r>
          </w:p>
        </w:tc>
        <w:tc>
          <w:tcPr>
            <w:tcW w:w="4523" w:type="dxa"/>
          </w:tcPr>
          <w:p w14:paraId="71AE06E8" w14:textId="139CE4EF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2877 Hybrid hospital 30-day, all cause, risk-standardized mortality rate (RSMR) following acute ischemic stroke with risk adjustment for stroke severity (With NIHSS)</w:t>
            </w:r>
          </w:p>
        </w:tc>
        <w:tc>
          <w:tcPr>
            <w:tcW w:w="4046" w:type="dxa"/>
          </w:tcPr>
          <w:p w14:paraId="0AB6F410" w14:textId="77777777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Endorsed</w:t>
            </w:r>
          </w:p>
          <w:p w14:paraId="3C4BF5DB" w14:textId="094A891C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(Endorsement was withdrawn in 2020 because CMS decided not to implement this version of the measure.)</w:t>
            </w:r>
          </w:p>
        </w:tc>
      </w:tr>
      <w:tr w:rsidR="00CA6832" w14:paraId="7FB5DFD4" w14:textId="0D3D9665" w:rsidTr="007E4171">
        <w:trPr>
          <w:trHeight w:val="823"/>
        </w:trPr>
        <w:tc>
          <w:tcPr>
            <w:tcW w:w="2148" w:type="dxa"/>
          </w:tcPr>
          <w:p w14:paraId="3F9DED39" w14:textId="36702498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September 2021</w:t>
            </w:r>
          </w:p>
        </w:tc>
        <w:tc>
          <w:tcPr>
            <w:tcW w:w="4523" w:type="dxa"/>
          </w:tcPr>
          <w:p w14:paraId="28A2887D" w14:textId="299143C3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3596 Hospital 30-Day, All-Cause, Risk-Standardized Mortality Rate (RSMR) Following Acute Ischemic Stroke Hospitalization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Claims-Based Risk Adjustment for Stroke Severity (With NIHSS)</w:t>
            </w:r>
          </w:p>
        </w:tc>
        <w:tc>
          <w:tcPr>
            <w:tcW w:w="4046" w:type="dxa"/>
          </w:tcPr>
          <w:p w14:paraId="7E5AE2A5" w14:textId="3629297B" w:rsidR="00CA6832" w:rsidRDefault="00CA6832" w:rsidP="000443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 endorsed. Although the measure now had validity testing with NIHSS data via ICD-10 codes, the committee did not reach consensus on whether in-hospital stroke mortality is an appropriate measure of quality and if there was sufficient evidence that one or more clinical actions could be performed to change stroke mortality.</w:t>
            </w:r>
          </w:p>
        </w:tc>
      </w:tr>
    </w:tbl>
    <w:p w14:paraId="6D36EAF2" w14:textId="77777777" w:rsidR="00EB2C52" w:rsidRDefault="00EB2C52" w:rsidP="0004435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68C477" w14:textId="58B4A24E" w:rsidR="00A510EE" w:rsidRPr="00D77898" w:rsidRDefault="284576B3" w:rsidP="00D77898">
      <w:pPr>
        <w:pStyle w:val="Heading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77898">
        <w:rPr>
          <w:rFonts w:asciiTheme="minorHAnsi" w:hAnsiTheme="minorHAnsi" w:cstheme="minorHAnsi"/>
          <w:b/>
          <w:bCs/>
          <w:color w:val="auto"/>
          <w:sz w:val="22"/>
          <w:szCs w:val="22"/>
        </w:rPr>
        <w:t>Rulemaking History</w:t>
      </w:r>
    </w:p>
    <w:p w14:paraId="4EDF287B" w14:textId="1F6122E2" w:rsidR="00A510EE" w:rsidRDefault="00A510EE" w:rsidP="44A96509">
      <w:pPr>
        <w:pStyle w:val="Default"/>
        <w:rPr>
          <w:rFonts w:asciiTheme="minorHAnsi" w:hAnsiTheme="minorHAnsi" w:cstheme="minorBidi"/>
          <w:color w:val="000000" w:themeColor="text1"/>
        </w:rPr>
      </w:pPr>
    </w:p>
    <w:p w14:paraId="03883645" w14:textId="3E864427" w:rsidR="00A510EE" w:rsidRDefault="00AE6CA9" w:rsidP="44A96509">
      <w:pPr>
        <w:pStyle w:val="Default"/>
        <w:numPr>
          <w:ilvl w:val="0"/>
          <w:numId w:val="1"/>
        </w:numPr>
        <w:rPr>
          <w:rFonts w:asciiTheme="minorHAnsi" w:hAnsiTheme="minorHAnsi" w:cstheme="minorBidi"/>
          <w:sz w:val="22"/>
          <w:szCs w:val="22"/>
        </w:rPr>
      </w:pPr>
      <w:r w:rsidRPr="44A96509">
        <w:rPr>
          <w:rFonts w:asciiTheme="minorHAnsi" w:hAnsiTheme="minorHAnsi" w:cstheme="minorBidi"/>
          <w:sz w:val="22"/>
          <w:szCs w:val="22"/>
        </w:rPr>
        <w:t>The Stroke Mortality measure (</w:t>
      </w:r>
      <w:r w:rsidR="00E3476F" w:rsidRPr="44A96509">
        <w:rPr>
          <w:rFonts w:asciiTheme="minorHAnsi" w:hAnsiTheme="minorHAnsi" w:cstheme="minorBidi"/>
          <w:sz w:val="22"/>
          <w:szCs w:val="22"/>
        </w:rPr>
        <w:t xml:space="preserve">without </w:t>
      </w:r>
      <w:r w:rsidRPr="44A96509">
        <w:rPr>
          <w:rFonts w:asciiTheme="minorHAnsi" w:hAnsiTheme="minorHAnsi" w:cstheme="minorBidi"/>
          <w:sz w:val="22"/>
          <w:szCs w:val="22"/>
        </w:rPr>
        <w:t xml:space="preserve">NIHSS) </w:t>
      </w:r>
      <w:r w:rsidR="005E7804" w:rsidRPr="44A96509">
        <w:rPr>
          <w:rFonts w:asciiTheme="minorHAnsi" w:hAnsiTheme="minorHAnsi" w:cstheme="minorBidi"/>
          <w:sz w:val="22"/>
          <w:szCs w:val="22"/>
        </w:rPr>
        <w:t xml:space="preserve">was submitted </w:t>
      </w:r>
      <w:r w:rsidR="00B4452F" w:rsidRPr="44A96509">
        <w:rPr>
          <w:rFonts w:asciiTheme="minorHAnsi" w:hAnsiTheme="minorHAnsi" w:cstheme="minorBidi"/>
          <w:sz w:val="22"/>
          <w:szCs w:val="22"/>
        </w:rPr>
        <w:t>to the MUC list in</w:t>
      </w:r>
      <w:r w:rsidR="005E7804" w:rsidRPr="44A96509">
        <w:rPr>
          <w:rFonts w:asciiTheme="minorHAnsi" w:hAnsiTheme="minorHAnsi" w:cstheme="minorBidi"/>
          <w:sz w:val="22"/>
          <w:szCs w:val="22"/>
        </w:rPr>
        <w:t xml:space="preserve"> 2015</w:t>
      </w:r>
      <w:r w:rsidR="00B4452F" w:rsidRPr="44A96509">
        <w:rPr>
          <w:rFonts w:asciiTheme="minorHAnsi" w:hAnsiTheme="minorHAnsi" w:cstheme="minorBidi"/>
          <w:sz w:val="22"/>
          <w:szCs w:val="22"/>
        </w:rPr>
        <w:t xml:space="preserve"> and underwent the Measures Application Process (MAP)</w:t>
      </w:r>
      <w:r w:rsidRPr="44A96509">
        <w:rPr>
          <w:rFonts w:asciiTheme="minorHAnsi" w:hAnsiTheme="minorHAnsi" w:cstheme="minorBidi"/>
          <w:sz w:val="22"/>
          <w:szCs w:val="22"/>
        </w:rPr>
        <w:t xml:space="preserve"> – please see detailed information within the “Previous Measures” section in the 2024 Stroke Mortality (with NIHSS) MERIT submission. </w:t>
      </w:r>
      <w:r w:rsidR="005E7804" w:rsidRPr="44A96509">
        <w:rPr>
          <w:rFonts w:asciiTheme="minorHAnsi" w:hAnsiTheme="minorHAnsi" w:cstheme="minorBidi"/>
          <w:sz w:val="22"/>
          <w:szCs w:val="22"/>
        </w:rPr>
        <w:t xml:space="preserve"> </w:t>
      </w:r>
    </w:p>
    <w:p w14:paraId="2AA760AD" w14:textId="1A587512" w:rsidR="005F799A" w:rsidRDefault="006639A3" w:rsidP="005F799A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="003351D7">
        <w:rPr>
          <w:rFonts w:asciiTheme="minorHAnsi" w:hAnsiTheme="minorHAnsi" w:cstheme="minorHAnsi"/>
          <w:sz w:val="22"/>
          <w:szCs w:val="22"/>
        </w:rPr>
        <w:t>Stroke Mortality measure (without NIHSS)</w:t>
      </w:r>
      <w:r w:rsidR="007967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was first proposed a</w:t>
      </w:r>
      <w:r w:rsidR="00AE5AB2">
        <w:rPr>
          <w:rFonts w:asciiTheme="minorHAnsi" w:hAnsiTheme="minorHAnsi" w:cstheme="minorHAnsi"/>
          <w:sz w:val="22"/>
          <w:szCs w:val="22"/>
        </w:rPr>
        <w:t xml:space="preserve">nd finalized for adoption into the Hospital IQR program in the FY 2014 IPPS Rule. </w:t>
      </w:r>
    </w:p>
    <w:p w14:paraId="752D6E99" w14:textId="22F04A72" w:rsidR="00AE5AB2" w:rsidRPr="005F799A" w:rsidRDefault="00AE5AB2" w:rsidP="44A96509">
      <w:pPr>
        <w:pStyle w:val="Default"/>
        <w:numPr>
          <w:ilvl w:val="0"/>
          <w:numId w:val="2"/>
        </w:numPr>
        <w:rPr>
          <w:rFonts w:asciiTheme="minorHAnsi" w:hAnsiTheme="minorHAnsi" w:cstheme="minorBidi"/>
          <w:sz w:val="22"/>
          <w:szCs w:val="22"/>
        </w:rPr>
      </w:pPr>
      <w:r w:rsidRPr="44A96509">
        <w:rPr>
          <w:rFonts w:asciiTheme="minorHAnsi" w:hAnsiTheme="minorHAnsi" w:cstheme="minorBidi"/>
          <w:sz w:val="22"/>
          <w:szCs w:val="22"/>
        </w:rPr>
        <w:t>The Stroke Mortality</w:t>
      </w:r>
      <w:r w:rsidR="003351D7" w:rsidRPr="44A96509">
        <w:rPr>
          <w:rFonts w:asciiTheme="minorHAnsi" w:hAnsiTheme="minorHAnsi" w:cstheme="minorBidi"/>
          <w:sz w:val="22"/>
          <w:szCs w:val="22"/>
        </w:rPr>
        <w:t xml:space="preserve"> measure</w:t>
      </w:r>
      <w:r w:rsidRPr="44A96509">
        <w:rPr>
          <w:rFonts w:asciiTheme="minorHAnsi" w:hAnsiTheme="minorHAnsi" w:cstheme="minorBidi"/>
          <w:sz w:val="22"/>
          <w:szCs w:val="22"/>
        </w:rPr>
        <w:t xml:space="preserve"> (with NIHSS) was proposed and finalized for adoption into the Hospital IQR program in the FY 2</w:t>
      </w:r>
      <w:r w:rsidR="00312283" w:rsidRPr="44A96509">
        <w:rPr>
          <w:rFonts w:asciiTheme="minorHAnsi" w:hAnsiTheme="minorHAnsi" w:cstheme="minorBidi"/>
          <w:sz w:val="22"/>
          <w:szCs w:val="22"/>
        </w:rPr>
        <w:t>018 IPPS Rule and replaced the prior version</w:t>
      </w:r>
      <w:r w:rsidR="006A4A54" w:rsidRPr="44A96509">
        <w:rPr>
          <w:rFonts w:asciiTheme="minorHAnsi" w:hAnsiTheme="minorHAnsi" w:cstheme="minorBidi"/>
          <w:sz w:val="22"/>
          <w:szCs w:val="22"/>
        </w:rPr>
        <w:t xml:space="preserve"> </w:t>
      </w:r>
      <w:r w:rsidR="00E91D99" w:rsidRPr="44A96509">
        <w:rPr>
          <w:rFonts w:asciiTheme="minorHAnsi" w:hAnsiTheme="minorHAnsi" w:cstheme="minorBidi"/>
          <w:sz w:val="22"/>
          <w:szCs w:val="22"/>
        </w:rPr>
        <w:t>without</w:t>
      </w:r>
      <w:r w:rsidR="00312283" w:rsidRPr="44A96509">
        <w:rPr>
          <w:rFonts w:asciiTheme="minorHAnsi" w:hAnsiTheme="minorHAnsi" w:cstheme="minorBidi"/>
          <w:sz w:val="22"/>
          <w:szCs w:val="22"/>
        </w:rPr>
        <w:t xml:space="preserve"> NIHSS in H</w:t>
      </w:r>
      <w:r w:rsidR="307DDDBE" w:rsidRPr="44A96509">
        <w:rPr>
          <w:rFonts w:asciiTheme="minorHAnsi" w:hAnsiTheme="minorHAnsi" w:cstheme="minorBidi"/>
          <w:sz w:val="22"/>
          <w:szCs w:val="22"/>
        </w:rPr>
        <w:t xml:space="preserve">ospital </w:t>
      </w:r>
      <w:r w:rsidR="00312283" w:rsidRPr="44A96509">
        <w:rPr>
          <w:rFonts w:asciiTheme="minorHAnsi" w:hAnsiTheme="minorHAnsi" w:cstheme="minorBidi"/>
          <w:sz w:val="22"/>
          <w:szCs w:val="22"/>
        </w:rPr>
        <w:t xml:space="preserve">IQR in FY 2022. </w:t>
      </w:r>
    </w:p>
    <w:sectPr w:rsidR="00AE5AB2" w:rsidRPr="005F799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8A8E4" w14:textId="77777777" w:rsidR="0087083B" w:rsidRDefault="0087083B" w:rsidP="00C550A9">
      <w:pPr>
        <w:spacing w:after="0" w:line="240" w:lineRule="auto"/>
      </w:pPr>
      <w:r>
        <w:separator/>
      </w:r>
    </w:p>
  </w:endnote>
  <w:endnote w:type="continuationSeparator" w:id="0">
    <w:p w14:paraId="3D7EB6DD" w14:textId="77777777" w:rsidR="0087083B" w:rsidRDefault="0087083B" w:rsidP="00C5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B1B6A" w14:textId="77777777" w:rsidR="0087083B" w:rsidRDefault="0087083B" w:rsidP="00C550A9">
      <w:pPr>
        <w:spacing w:after="0" w:line="240" w:lineRule="auto"/>
      </w:pPr>
      <w:r>
        <w:separator/>
      </w:r>
    </w:p>
  </w:footnote>
  <w:footnote w:type="continuationSeparator" w:id="0">
    <w:p w14:paraId="6F487CA8" w14:textId="77777777" w:rsidR="0087083B" w:rsidRDefault="0087083B" w:rsidP="00C5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E7599" w14:textId="6E122F3B" w:rsidR="0008567C" w:rsidRDefault="0008567C">
    <w:pPr>
      <w:pStyle w:val="Header"/>
    </w:pPr>
    <w:r>
      <w:t xml:space="preserve">Stroke Mortality (with NIHSS) </w:t>
    </w:r>
    <w:r w:rsidR="00EA5B85">
      <w:t xml:space="preserve">Relevant </w:t>
    </w:r>
    <w:r>
      <w:t xml:space="preserve">CBE Endorsement and Rulemaking History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B5D23"/>
    <w:multiLevelType w:val="hybridMultilevel"/>
    <w:tmpl w:val="A0405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D7BF6"/>
    <w:multiLevelType w:val="hybridMultilevel"/>
    <w:tmpl w:val="A91E7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0093">
    <w:abstractNumId w:val="0"/>
  </w:num>
  <w:num w:numId="2" w16cid:durableId="5879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A9"/>
    <w:rsid w:val="00000DA8"/>
    <w:rsid w:val="00044356"/>
    <w:rsid w:val="00053DCA"/>
    <w:rsid w:val="00065CCA"/>
    <w:rsid w:val="0008567C"/>
    <w:rsid w:val="000D0F99"/>
    <w:rsid w:val="001012E6"/>
    <w:rsid w:val="00113339"/>
    <w:rsid w:val="001153A5"/>
    <w:rsid w:val="001213D6"/>
    <w:rsid w:val="001515DE"/>
    <w:rsid w:val="001821A9"/>
    <w:rsid w:val="001A0A8E"/>
    <w:rsid w:val="001D5D7A"/>
    <w:rsid w:val="001E6F2B"/>
    <w:rsid w:val="00216E0C"/>
    <w:rsid w:val="00217B45"/>
    <w:rsid w:val="00312283"/>
    <w:rsid w:val="003351D7"/>
    <w:rsid w:val="00347D59"/>
    <w:rsid w:val="00370C41"/>
    <w:rsid w:val="003827DB"/>
    <w:rsid w:val="00382DEF"/>
    <w:rsid w:val="003B1938"/>
    <w:rsid w:val="003F0EC3"/>
    <w:rsid w:val="00413506"/>
    <w:rsid w:val="00422D88"/>
    <w:rsid w:val="004711F0"/>
    <w:rsid w:val="00477F68"/>
    <w:rsid w:val="004C06AB"/>
    <w:rsid w:val="005115CF"/>
    <w:rsid w:val="005168AF"/>
    <w:rsid w:val="00521C78"/>
    <w:rsid w:val="00526477"/>
    <w:rsid w:val="00562F83"/>
    <w:rsid w:val="00564955"/>
    <w:rsid w:val="0057472E"/>
    <w:rsid w:val="005A65EE"/>
    <w:rsid w:val="005E7804"/>
    <w:rsid w:val="005F5A95"/>
    <w:rsid w:val="005F799A"/>
    <w:rsid w:val="006110C5"/>
    <w:rsid w:val="00611CBD"/>
    <w:rsid w:val="006639A3"/>
    <w:rsid w:val="006A4A54"/>
    <w:rsid w:val="006E1EC3"/>
    <w:rsid w:val="00703AB7"/>
    <w:rsid w:val="007516C1"/>
    <w:rsid w:val="00767A5C"/>
    <w:rsid w:val="007967B2"/>
    <w:rsid w:val="007E4171"/>
    <w:rsid w:val="007F6AA6"/>
    <w:rsid w:val="00812982"/>
    <w:rsid w:val="0087083B"/>
    <w:rsid w:val="008E76A9"/>
    <w:rsid w:val="009313CD"/>
    <w:rsid w:val="00967210"/>
    <w:rsid w:val="009A3270"/>
    <w:rsid w:val="009B2E39"/>
    <w:rsid w:val="009E0793"/>
    <w:rsid w:val="00A16BA9"/>
    <w:rsid w:val="00A22E84"/>
    <w:rsid w:val="00A510EE"/>
    <w:rsid w:val="00A522C1"/>
    <w:rsid w:val="00A54C99"/>
    <w:rsid w:val="00A6372D"/>
    <w:rsid w:val="00AD4C99"/>
    <w:rsid w:val="00AE5AB2"/>
    <w:rsid w:val="00AE6CA9"/>
    <w:rsid w:val="00AF2D4D"/>
    <w:rsid w:val="00B31BA7"/>
    <w:rsid w:val="00B4452F"/>
    <w:rsid w:val="00BA0E08"/>
    <w:rsid w:val="00BB0A24"/>
    <w:rsid w:val="00BB23D2"/>
    <w:rsid w:val="00C12DB3"/>
    <w:rsid w:val="00C16E05"/>
    <w:rsid w:val="00C32F2E"/>
    <w:rsid w:val="00C53606"/>
    <w:rsid w:val="00C550A9"/>
    <w:rsid w:val="00CA6832"/>
    <w:rsid w:val="00CD0789"/>
    <w:rsid w:val="00CF5771"/>
    <w:rsid w:val="00D54B19"/>
    <w:rsid w:val="00D67B0A"/>
    <w:rsid w:val="00D725E8"/>
    <w:rsid w:val="00D77898"/>
    <w:rsid w:val="00DB5036"/>
    <w:rsid w:val="00DF6C57"/>
    <w:rsid w:val="00E3476F"/>
    <w:rsid w:val="00E42422"/>
    <w:rsid w:val="00E5168B"/>
    <w:rsid w:val="00E53519"/>
    <w:rsid w:val="00E87DC5"/>
    <w:rsid w:val="00E91D99"/>
    <w:rsid w:val="00EA5B85"/>
    <w:rsid w:val="00EB2C52"/>
    <w:rsid w:val="00F4258A"/>
    <w:rsid w:val="00F45641"/>
    <w:rsid w:val="00F642F5"/>
    <w:rsid w:val="00F8467E"/>
    <w:rsid w:val="00FB14D0"/>
    <w:rsid w:val="284576B3"/>
    <w:rsid w:val="307DDDBE"/>
    <w:rsid w:val="44A96509"/>
    <w:rsid w:val="6A3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F875C"/>
  <w15:chartTrackingRefBased/>
  <w15:docId w15:val="{F387DDA9-90CC-4916-A619-B9AEBC09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78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8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550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50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50A9"/>
    <w:rPr>
      <w:vertAlign w:val="superscript"/>
    </w:rPr>
  </w:style>
  <w:style w:type="character" w:customStyle="1" w:styleId="cf01">
    <w:name w:val="cf01"/>
    <w:basedOn w:val="DefaultParagraphFont"/>
    <w:rsid w:val="00C550A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C550A9"/>
    <w:rPr>
      <w:rFonts w:ascii="Segoe UI" w:hAnsi="Segoe UI" w:cs="Segoe UI" w:hint="default"/>
      <w:i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4C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C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C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C99"/>
    <w:rPr>
      <w:b/>
      <w:bCs/>
      <w:sz w:val="20"/>
      <w:szCs w:val="20"/>
    </w:rPr>
  </w:style>
  <w:style w:type="paragraph" w:customStyle="1" w:styleId="xxmsonormal">
    <w:name w:val="x_xmsonormal"/>
    <w:basedOn w:val="Normal"/>
    <w:rsid w:val="004C06AB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customStyle="1" w:styleId="Default">
    <w:name w:val="Default"/>
    <w:rsid w:val="003827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52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5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67C"/>
  </w:style>
  <w:style w:type="paragraph" w:styleId="Footer">
    <w:name w:val="footer"/>
    <w:basedOn w:val="Normal"/>
    <w:link w:val="FooterChar"/>
    <w:uiPriority w:val="99"/>
    <w:unhideWhenUsed/>
    <w:rsid w:val="00085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67C"/>
  </w:style>
  <w:style w:type="paragraph" w:styleId="Revision">
    <w:name w:val="Revision"/>
    <w:hidden/>
    <w:uiPriority w:val="99"/>
    <w:semiHidden/>
    <w:rsid w:val="00382D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778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778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410E6CF622C4EADCFB5F55FC02608" ma:contentTypeVersion="8" ma:contentTypeDescription="Create a new document." ma:contentTypeScope="" ma:versionID="5e0cff2b02d35152f8b5331d5db28e65">
  <xsd:schema xmlns:xsd="http://www.w3.org/2001/XMLSchema" xmlns:xs="http://www.w3.org/2001/XMLSchema" xmlns:p="http://schemas.microsoft.com/office/2006/metadata/properties" xmlns:ns2="7f9ce468-51db-4d30-88e8-b0fea9ce748c" xmlns:ns3="643034dc-0fad-4b77-8118-0541f337a771" targetNamespace="http://schemas.microsoft.com/office/2006/metadata/properties" ma:root="true" ma:fieldsID="cf7766a33459144f42975d67aca8dbbd" ns2:_="" ns3:_="">
    <xsd:import namespace="7f9ce468-51db-4d30-88e8-b0fea9ce748c"/>
    <xsd:import namespace="643034dc-0fad-4b77-8118-0541f337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ce468-51db-4d30-88e8-b0fea9ce7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034dc-0fad-4b77-8118-0541f337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182FB-FAAF-479A-A4C2-B4297D1B10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F24D1D-F510-4FBF-B843-DFB1D7927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ce468-51db-4d30-88e8-b0fea9ce748c"/>
    <ds:schemaRef ds:uri="643034dc-0fad-4b77-8118-0541f337a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73D528-0946-4D68-8489-9A9C92A5DA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FAE26D-B8AD-488B-B158-AC1DDA6D90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Stroke Mortality (with NIHSS) CBE Endorsement and Rulemaking History</dc:title>
  <dc:subject/>
  <dc:creator>Yale - CORE</dc:creator>
  <cp:keywords>MUC2024-043, stroke mortality, rationale, CBE endorsement and maintenance</cp:keywords>
  <dc:description/>
  <cp:lastModifiedBy>Ghunney, Aya (US)</cp:lastModifiedBy>
  <cp:revision>9</cp:revision>
  <dcterms:created xsi:type="dcterms:W3CDTF">2024-03-07T21:05:00Z</dcterms:created>
  <dcterms:modified xsi:type="dcterms:W3CDTF">2024-08-14T16:59:00Z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0x010100BC5410E6CF622C4EADCFB5F55FC02608</vt:lpwstr>
  </property>
</Properties>
</file>