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E0FE3" w14:textId="77777777" w:rsidR="00C00243" w:rsidRPr="00D63635" w:rsidRDefault="00571AE2" w:rsidP="00C00243">
      <w:pPr>
        <w:pStyle w:val="Heading1"/>
        <w:jc w:val="center"/>
        <w:rPr>
          <w:rFonts w:ascii="Arial" w:hAnsi="Arial" w:cs="Arial"/>
          <w:b/>
          <w:bCs/>
          <w:color w:val="auto"/>
          <w:sz w:val="22"/>
          <w:szCs w:val="22"/>
        </w:rPr>
      </w:pPr>
      <w:bookmarkStart w:id="0" w:name="_Hlk93317549"/>
      <w:r w:rsidRPr="00D63635" w:rsidDel="00C00243">
        <w:rPr>
          <w:rFonts w:ascii="Arial" w:hAnsi="Arial" w:cs="Arial"/>
          <w:b/>
          <w:color w:val="auto"/>
          <w:sz w:val="22"/>
          <w:szCs w:val="22"/>
        </w:rPr>
        <w:t>202</w:t>
      </w:r>
      <w:r w:rsidR="75DAD56E" w:rsidRPr="00D63635" w:rsidDel="00C00243">
        <w:rPr>
          <w:rFonts w:ascii="Arial" w:hAnsi="Arial" w:cs="Arial"/>
          <w:b/>
          <w:color w:val="auto"/>
          <w:sz w:val="22"/>
          <w:szCs w:val="22"/>
        </w:rPr>
        <w:t>4</w:t>
      </w:r>
      <w:r w:rsidRPr="00D63635" w:rsidDel="00C00243">
        <w:rPr>
          <w:rFonts w:ascii="Arial" w:hAnsi="Arial" w:cs="Arial"/>
          <w:b/>
          <w:color w:val="auto"/>
          <w:sz w:val="22"/>
          <w:szCs w:val="22"/>
        </w:rPr>
        <w:t xml:space="preserve"> </w:t>
      </w:r>
      <w:r w:rsidR="00332C94" w:rsidRPr="00D63635" w:rsidDel="00C00243">
        <w:rPr>
          <w:rFonts w:ascii="Arial" w:hAnsi="Arial" w:cs="Arial"/>
          <w:b/>
          <w:color w:val="auto"/>
          <w:sz w:val="22"/>
          <w:szCs w:val="22"/>
        </w:rPr>
        <w:t xml:space="preserve">MIPS </w:t>
      </w:r>
      <w:r w:rsidR="00ED5E4C" w:rsidRPr="00D63635" w:rsidDel="00C00243">
        <w:rPr>
          <w:rFonts w:ascii="Arial" w:hAnsi="Arial" w:cs="Arial"/>
          <w:b/>
          <w:color w:val="auto"/>
          <w:sz w:val="22"/>
          <w:szCs w:val="22"/>
        </w:rPr>
        <w:t>Peer</w:t>
      </w:r>
      <w:r w:rsidR="00EA06EB" w:rsidRPr="00D63635" w:rsidDel="00C00243">
        <w:rPr>
          <w:rFonts w:ascii="Arial" w:hAnsi="Arial" w:cs="Arial"/>
          <w:b/>
          <w:color w:val="auto"/>
          <w:sz w:val="22"/>
          <w:szCs w:val="22"/>
        </w:rPr>
        <w:t>-</w:t>
      </w:r>
      <w:r w:rsidR="00ED5E4C" w:rsidRPr="00D63635" w:rsidDel="00C00243">
        <w:rPr>
          <w:rFonts w:ascii="Arial" w:hAnsi="Arial" w:cs="Arial"/>
          <w:b/>
          <w:color w:val="auto"/>
          <w:sz w:val="22"/>
          <w:szCs w:val="22"/>
        </w:rPr>
        <w:t xml:space="preserve">Reviewed Journal Article </w:t>
      </w:r>
      <w:r w:rsidR="00ED5E4C" w:rsidRPr="000271EB" w:rsidDel="00C00243">
        <w:rPr>
          <w:rFonts w:ascii="Arial" w:hAnsi="Arial" w:cs="Arial"/>
          <w:b/>
          <w:color w:val="auto"/>
          <w:sz w:val="22"/>
          <w:szCs w:val="22"/>
        </w:rPr>
        <w:t>Requirement</w:t>
      </w:r>
      <w:r w:rsidR="00ED5E4C" w:rsidRPr="00D63635" w:rsidDel="00C00243">
        <w:rPr>
          <w:rFonts w:ascii="Arial" w:hAnsi="Arial" w:cs="Arial"/>
          <w:b/>
          <w:color w:val="auto"/>
          <w:sz w:val="22"/>
          <w:szCs w:val="22"/>
        </w:rPr>
        <w:t xml:space="preserve"> Template</w:t>
      </w:r>
    </w:p>
    <w:p w14:paraId="0B8D327A" w14:textId="64ECA080" w:rsidR="00ED5E4C" w:rsidRDefault="00ED5E4C" w:rsidP="00ED5E4C">
      <w:pPr>
        <w:rPr>
          <w:rFonts w:ascii="Arial" w:hAnsi="Arial" w:cs="Arial"/>
          <w:color w:val="000000"/>
        </w:rPr>
      </w:pPr>
      <w:r w:rsidRPr="7FBADEA3">
        <w:rPr>
          <w:rFonts w:ascii="Arial" w:hAnsi="Arial" w:cs="Arial"/>
          <w:color w:val="000000" w:themeColor="text1"/>
        </w:rPr>
        <w:t>Section 101(c)(1) of the Medicare Access and CHIP Reauthorization Act of 2015 (MACRA) requires submission of new measures for publication in applicable specialty-appropriate, peer-reviewed journals prior to implementing in the Merit-based Incentive Payment System (MIPS).</w:t>
      </w:r>
      <w:r w:rsidR="0081726D" w:rsidRPr="7FBADEA3">
        <w:rPr>
          <w:rFonts w:ascii="Arial" w:hAnsi="Arial" w:cs="Arial"/>
          <w:color w:val="000000" w:themeColor="text1"/>
        </w:rPr>
        <w:t xml:space="preserve"> </w:t>
      </w:r>
      <w:r w:rsidR="00EE222C">
        <w:rPr>
          <w:rFonts w:ascii="Arial" w:hAnsi="Arial" w:cs="Arial"/>
          <w:color w:val="000000" w:themeColor="text1"/>
        </w:rPr>
        <w:t>Such</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measures will be submitted by the Centers for Medicare &amp; Medicaid Services (CMS), to a journal(s), before including any new measure </w:t>
      </w:r>
      <w:r w:rsidR="00EE222C">
        <w:rPr>
          <w:rFonts w:ascii="Arial" w:hAnsi="Arial" w:cs="Arial"/>
          <w:color w:val="000000" w:themeColor="text1"/>
        </w:rPr>
        <w:t>on</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the </w:t>
      </w:r>
      <w:r w:rsidR="000D4FDF" w:rsidRPr="7FBADEA3">
        <w:rPr>
          <w:rFonts w:ascii="Arial" w:hAnsi="Arial" w:cs="Arial"/>
          <w:color w:val="000000" w:themeColor="text1"/>
        </w:rPr>
        <w:t>MIPS Quality Measures List</w:t>
      </w:r>
      <w:r w:rsidR="00C4710B" w:rsidRPr="7FBADEA3">
        <w:rPr>
          <w:rFonts w:ascii="Arial" w:hAnsi="Arial" w:cs="Arial"/>
          <w:color w:val="000000" w:themeColor="text1"/>
        </w:rPr>
        <w:t xml:space="preserve">. </w:t>
      </w:r>
      <w:r w:rsidRPr="7FBADEA3">
        <w:rPr>
          <w:rFonts w:ascii="Arial" w:hAnsi="Arial" w:cs="Arial"/>
          <w:color w:val="000000" w:themeColor="text1"/>
        </w:rPr>
        <w:t xml:space="preserve">The measure </w:t>
      </w:r>
      <w:r w:rsidR="00A24376" w:rsidRPr="7FBADEA3">
        <w:rPr>
          <w:rFonts w:ascii="Arial" w:hAnsi="Arial" w:cs="Arial"/>
          <w:color w:val="000000" w:themeColor="text1"/>
        </w:rPr>
        <w:t xml:space="preserve">submitter </w:t>
      </w:r>
      <w:r w:rsidRPr="7FBADEA3">
        <w:rPr>
          <w:rFonts w:ascii="Arial" w:hAnsi="Arial" w:cs="Arial"/>
          <w:color w:val="000000" w:themeColor="text1"/>
        </w:rPr>
        <w:t xml:space="preserve">shall provide the required information for article submission under the MACRA per </w:t>
      </w:r>
      <w:r w:rsidR="009F5C76" w:rsidRPr="7FBADEA3">
        <w:rPr>
          <w:rFonts w:ascii="Arial" w:hAnsi="Arial" w:cs="Arial"/>
          <w:color w:val="000000" w:themeColor="text1"/>
        </w:rPr>
        <w:t xml:space="preserve">the </w:t>
      </w:r>
      <w:r w:rsidR="00EE222C">
        <w:rPr>
          <w:rFonts w:ascii="Arial" w:hAnsi="Arial" w:cs="Arial"/>
          <w:color w:val="000000" w:themeColor="text1"/>
        </w:rPr>
        <w:t>MIPS Annual</w:t>
      </w:r>
      <w:r w:rsidR="00EE222C" w:rsidRPr="7FBADEA3">
        <w:rPr>
          <w:rFonts w:ascii="Arial" w:hAnsi="Arial" w:cs="Arial"/>
          <w:color w:val="000000" w:themeColor="text1"/>
        </w:rPr>
        <w:t xml:space="preserve"> </w:t>
      </w:r>
      <w:r w:rsidRPr="7FBADEA3">
        <w:rPr>
          <w:rFonts w:ascii="Arial" w:hAnsi="Arial" w:cs="Arial"/>
          <w:color w:val="000000" w:themeColor="text1"/>
        </w:rPr>
        <w:t xml:space="preserve">Call for </w:t>
      </w:r>
      <w:r w:rsidR="00552A8C" w:rsidRPr="7FBADEA3">
        <w:rPr>
          <w:rFonts w:ascii="Arial" w:hAnsi="Arial" w:cs="Arial"/>
          <w:color w:val="000000" w:themeColor="text1"/>
        </w:rPr>
        <w:t xml:space="preserve">Quality </w:t>
      </w:r>
      <w:r w:rsidRPr="7FBADEA3">
        <w:rPr>
          <w:rFonts w:ascii="Arial" w:hAnsi="Arial" w:cs="Arial"/>
          <w:color w:val="000000" w:themeColor="text1"/>
        </w:rPr>
        <w:t>Measures submission process.</w:t>
      </w:r>
    </w:p>
    <w:p w14:paraId="42D62858" w14:textId="3320FD15" w:rsidR="00ED5E4C" w:rsidRPr="005D7BAE" w:rsidRDefault="00EE222C" w:rsidP="00ED5E4C">
      <w:pPr>
        <w:rPr>
          <w:rFonts w:ascii="Arial" w:hAnsi="Arial" w:cs="Arial"/>
        </w:rPr>
      </w:pPr>
      <w:r>
        <w:rPr>
          <w:rFonts w:ascii="Arial" w:hAnsi="Arial" w:cs="Arial"/>
          <w:color w:val="000000"/>
        </w:rPr>
        <w:t xml:space="preserve">Interested parties </w:t>
      </w:r>
      <w:r w:rsidR="00ED5E4C">
        <w:rPr>
          <w:rFonts w:ascii="Arial" w:hAnsi="Arial" w:cs="Arial"/>
          <w:color w:val="000000"/>
        </w:rPr>
        <w:t xml:space="preserve">submitting measures </w:t>
      </w:r>
      <w:r w:rsidRPr="32030D9D">
        <w:rPr>
          <w:rFonts w:ascii="Arial" w:hAnsi="Arial" w:cs="Arial"/>
          <w:color w:val="000000" w:themeColor="text1"/>
        </w:rPr>
        <w:t xml:space="preserve">for consideration through </w:t>
      </w:r>
      <w:r w:rsidR="00ED5E4C">
        <w:rPr>
          <w:rFonts w:ascii="Arial" w:hAnsi="Arial" w:cs="Arial"/>
          <w:color w:val="000000"/>
        </w:rPr>
        <w:t xml:space="preserve">the MIPS </w:t>
      </w:r>
      <w:r>
        <w:rPr>
          <w:rFonts w:ascii="Arial" w:hAnsi="Arial" w:cs="Arial"/>
          <w:color w:val="000000"/>
        </w:rPr>
        <w:t xml:space="preserve">Annual </w:t>
      </w:r>
      <w:r w:rsidR="00ED5E4C">
        <w:rPr>
          <w:rFonts w:ascii="Arial" w:hAnsi="Arial" w:cs="Arial"/>
          <w:color w:val="000000"/>
        </w:rPr>
        <w:t>Call for Quality Measures</w:t>
      </w:r>
      <w:r w:rsidR="00ED5E4C" w:rsidRPr="005D6A32">
        <w:rPr>
          <w:rFonts w:ascii="Arial" w:hAnsi="Arial" w:cs="Arial"/>
          <w:color w:val="000000"/>
        </w:rPr>
        <w:t xml:space="preserve"> must complete the required information by</w:t>
      </w:r>
      <w:r w:rsidR="00ED5E4C">
        <w:rPr>
          <w:rFonts w:ascii="Arial" w:hAnsi="Arial" w:cs="Arial"/>
          <w:color w:val="000000"/>
        </w:rPr>
        <w:t xml:space="preserve"> </w:t>
      </w:r>
      <w:r w:rsidR="00ED5E4C" w:rsidRPr="005D6A32">
        <w:rPr>
          <w:rFonts w:ascii="Arial" w:hAnsi="Arial" w:cs="Arial"/>
          <w:color w:val="000000"/>
        </w:rPr>
        <w:t xml:space="preserve">the </w:t>
      </w:r>
      <w:r>
        <w:rPr>
          <w:rFonts w:ascii="Arial" w:hAnsi="Arial" w:cs="Arial"/>
          <w:color w:val="000000"/>
        </w:rPr>
        <w:t xml:space="preserve">CMS </w:t>
      </w:r>
      <w:r w:rsidR="003D5D1A">
        <w:rPr>
          <w:rFonts w:ascii="Arial" w:hAnsi="Arial" w:cs="Arial"/>
          <w:color w:val="000000"/>
        </w:rPr>
        <w:t xml:space="preserve">Annual </w:t>
      </w:r>
      <w:r w:rsidR="00ED5E4C" w:rsidRPr="005D6A32">
        <w:rPr>
          <w:rFonts w:ascii="Arial" w:hAnsi="Arial" w:cs="Arial"/>
          <w:color w:val="000000"/>
        </w:rPr>
        <w:t>Call for Measures deadline</w:t>
      </w:r>
      <w:r>
        <w:rPr>
          <w:rFonts w:ascii="Arial" w:hAnsi="Arial" w:cs="Arial"/>
          <w:color w:val="000000"/>
        </w:rPr>
        <w:t xml:space="preserve"> </w:t>
      </w:r>
      <w:r>
        <w:rPr>
          <w:rFonts w:ascii="Arial" w:hAnsi="Arial" w:cs="Arial"/>
          <w:color w:val="000000" w:themeColor="text1"/>
        </w:rPr>
        <w:t>(</w:t>
      </w:r>
      <w:r>
        <w:rPr>
          <w:rFonts w:ascii="Arial" w:hAnsi="Arial" w:cs="Arial"/>
          <w:color w:val="000000"/>
        </w:rPr>
        <w:t>8 p.m. ET on May 10, 2024)</w:t>
      </w:r>
      <w:r w:rsidR="00ED5E4C" w:rsidRPr="005D6A32">
        <w:rPr>
          <w:rFonts w:ascii="Arial" w:hAnsi="Arial" w:cs="Arial"/>
          <w:color w:val="000000"/>
        </w:rPr>
        <w:t xml:space="preserve">. </w:t>
      </w:r>
      <w:r w:rsidR="00ED5E4C" w:rsidRPr="005D7BAE">
        <w:rPr>
          <w:rFonts w:ascii="Arial" w:hAnsi="Arial" w:cs="Arial"/>
          <w:color w:val="000000"/>
        </w:rPr>
        <w:t>Some of the information requested below may be listed in specific fields in the</w:t>
      </w:r>
      <w:r>
        <w:rPr>
          <w:rFonts w:ascii="Arial" w:hAnsi="Arial" w:cs="Arial"/>
          <w:color w:val="000000"/>
        </w:rPr>
        <w:t xml:space="preserve"> CMS</w:t>
      </w:r>
      <w:r w:rsidR="00ED5E4C" w:rsidRPr="005D7BAE">
        <w:rPr>
          <w:rFonts w:ascii="Arial" w:hAnsi="Arial" w:cs="Arial"/>
          <w:color w:val="000000"/>
        </w:rPr>
        <w:t xml:space="preserve"> </w:t>
      </w:r>
      <w:r w:rsidR="00C4710B">
        <w:rPr>
          <w:rFonts w:ascii="Arial" w:hAnsi="Arial" w:cs="Arial"/>
          <w:color w:val="000000"/>
        </w:rPr>
        <w:t>Measures Under Consideration (</w:t>
      </w:r>
      <w:r w:rsidR="00ED5E4C">
        <w:rPr>
          <w:rFonts w:ascii="Arial" w:hAnsi="Arial" w:cs="Arial"/>
          <w:color w:val="000000"/>
        </w:rPr>
        <w:t>MUC</w:t>
      </w:r>
      <w:r w:rsidR="00C4710B">
        <w:rPr>
          <w:rFonts w:ascii="Arial" w:hAnsi="Arial" w:cs="Arial"/>
          <w:color w:val="000000"/>
        </w:rPr>
        <w:t>)</w:t>
      </w:r>
      <w:r w:rsidR="00ED5E4C">
        <w:rPr>
          <w:rFonts w:ascii="Arial" w:hAnsi="Arial" w:cs="Arial"/>
          <w:color w:val="000000"/>
        </w:rPr>
        <w:t xml:space="preserve"> Entry/Review Information T</w:t>
      </w:r>
      <w:r w:rsidR="00ED5E4C" w:rsidRPr="005D7BAE">
        <w:rPr>
          <w:rFonts w:ascii="Arial" w:hAnsi="Arial" w:cs="Arial"/>
          <w:color w:val="000000"/>
        </w:rPr>
        <w:t>ool</w:t>
      </w:r>
      <w:r w:rsidR="00ED5E4C">
        <w:rPr>
          <w:rFonts w:ascii="Arial" w:hAnsi="Arial" w:cs="Arial"/>
          <w:color w:val="000000"/>
        </w:rPr>
        <w:t xml:space="preserve"> (MERIT);</w:t>
      </w:r>
      <w:r w:rsidR="00ED5E4C" w:rsidRPr="005D7BAE">
        <w:rPr>
          <w:rFonts w:ascii="Arial" w:hAnsi="Arial" w:cs="Arial"/>
          <w:color w:val="000000"/>
        </w:rPr>
        <w:t xml:space="preserve"> </w:t>
      </w:r>
      <w:r w:rsidR="00ED5E4C" w:rsidRPr="00603E10">
        <w:rPr>
          <w:rFonts w:ascii="Arial" w:hAnsi="Arial" w:cs="Arial"/>
          <w:color w:val="000000"/>
        </w:rPr>
        <w:t>however, to ensure that CMS has all of the necessary information and avoid delays in the evaluation of your submission, please fully complete this form as</w:t>
      </w:r>
      <w:r w:rsidR="00ED5E4C">
        <w:rPr>
          <w:rFonts w:ascii="Arial" w:hAnsi="Arial" w:cs="Arial"/>
          <w:color w:val="000000"/>
        </w:rPr>
        <w:t xml:space="preserve"> an attached Word document. The</w:t>
      </w:r>
      <w:r w:rsidR="00ED5E4C" w:rsidRPr="00603E10">
        <w:rPr>
          <w:rFonts w:ascii="Arial" w:hAnsi="Arial" w:cs="Arial"/>
          <w:color w:val="000000"/>
        </w:rPr>
        <w:t xml:space="preserve"> information in </w:t>
      </w:r>
      <w:r w:rsidR="00ED5E4C">
        <w:rPr>
          <w:rFonts w:ascii="Arial" w:hAnsi="Arial" w:cs="Arial"/>
          <w:color w:val="000000"/>
        </w:rPr>
        <w:t>MERIT</w:t>
      </w:r>
      <w:r w:rsidR="00ED5E4C" w:rsidRPr="00603E10">
        <w:rPr>
          <w:rFonts w:ascii="Arial" w:hAnsi="Arial" w:cs="Arial"/>
          <w:color w:val="000000"/>
        </w:rPr>
        <w:t xml:space="preserve"> must be consis</w:t>
      </w:r>
      <w:r w:rsidR="00ED5E4C">
        <w:rPr>
          <w:rFonts w:ascii="Arial" w:hAnsi="Arial" w:cs="Arial"/>
          <w:color w:val="000000"/>
        </w:rPr>
        <w:t>tent with the information below</w:t>
      </w:r>
      <w:r w:rsidR="00624B8F">
        <w:rPr>
          <w:rFonts w:ascii="Arial" w:hAnsi="Arial" w:cs="Arial"/>
          <w:color w:val="000000"/>
        </w:rPr>
        <w:t xml:space="preserve">, </w:t>
      </w:r>
      <w:r>
        <w:rPr>
          <w:rFonts w:ascii="Arial" w:hAnsi="Arial" w:cs="Arial"/>
          <w:color w:val="000000"/>
        </w:rPr>
        <w:t xml:space="preserve">including the following, </w:t>
      </w:r>
      <w:r w:rsidR="00ED5E4C" w:rsidRPr="005D7BAE">
        <w:rPr>
          <w:rFonts w:ascii="Arial" w:hAnsi="Arial" w:cs="Arial"/>
        </w:rPr>
        <w:t>but</w:t>
      </w:r>
      <w:r w:rsidR="00ED5E4C" w:rsidRPr="005D7BAE" w:rsidDel="00EE222C">
        <w:rPr>
          <w:rFonts w:ascii="Arial" w:hAnsi="Arial" w:cs="Arial"/>
        </w:rPr>
        <w:t xml:space="preserve"> </w:t>
      </w:r>
      <w:r>
        <w:rPr>
          <w:rFonts w:ascii="Arial" w:hAnsi="Arial" w:cs="Arial"/>
        </w:rPr>
        <w:t>not</w:t>
      </w:r>
      <w:r w:rsidRPr="005D7BAE">
        <w:rPr>
          <w:rFonts w:ascii="Arial" w:hAnsi="Arial" w:cs="Arial"/>
        </w:rPr>
        <w:t xml:space="preserve"> </w:t>
      </w:r>
      <w:r w:rsidR="00ED5E4C" w:rsidRPr="005D7BAE">
        <w:rPr>
          <w:rFonts w:ascii="Arial" w:hAnsi="Arial" w:cs="Arial"/>
        </w:rPr>
        <w:t>limited to:</w:t>
      </w:r>
    </w:p>
    <w:p w14:paraId="1F2C9F1C" w14:textId="22190A6A" w:rsidR="00216557" w:rsidRDefault="009C166F" w:rsidP="003811D9">
      <w:pPr>
        <w:pStyle w:val="ListParagraph"/>
        <w:numPr>
          <w:ilvl w:val="0"/>
          <w:numId w:val="9"/>
        </w:numPr>
        <w:spacing w:before="240"/>
        <w:rPr>
          <w:rFonts w:ascii="Arial" w:hAnsi="Arial" w:cs="Arial"/>
          <w:b/>
          <w:iCs/>
        </w:rPr>
      </w:pPr>
      <w:r>
        <w:rPr>
          <w:rFonts w:ascii="Arial" w:hAnsi="Arial" w:cs="Arial"/>
          <w:b/>
          <w:iCs/>
        </w:rPr>
        <w:t>Hepatitis C Virus (HCV):  Sustained Virological Response (SVR)</w:t>
      </w:r>
    </w:p>
    <w:p w14:paraId="11370BFC" w14:textId="5A6A9344" w:rsidR="009528D6" w:rsidRPr="001F1DB8" w:rsidRDefault="009528D6" w:rsidP="001F1DB8">
      <w:pPr>
        <w:pStyle w:val="ListParagraph"/>
        <w:numPr>
          <w:ilvl w:val="0"/>
          <w:numId w:val="9"/>
        </w:numPr>
        <w:rPr>
          <w:rFonts w:ascii="Arial" w:hAnsi="Arial" w:cs="Arial"/>
          <w:b/>
          <w:bCs/>
        </w:rPr>
      </w:pPr>
      <w:r w:rsidRPr="009528D6">
        <w:rPr>
          <w:rFonts w:ascii="Arial" w:hAnsi="Arial" w:cs="Arial"/>
          <w:b/>
          <w:bCs/>
        </w:rPr>
        <w:t>[Meaningful Measures 2.0 Framework Domain]</w:t>
      </w:r>
    </w:p>
    <w:p w14:paraId="7B3AD8CA" w14:textId="77777777" w:rsidR="00ED5E4C" w:rsidRPr="00DD5758" w:rsidRDefault="00ED5E4C" w:rsidP="00ED5E4C">
      <w:pPr>
        <w:ind w:firstLine="720"/>
        <w:rPr>
          <w:rFonts w:ascii="Arial" w:hAnsi="Arial" w:cs="Arial"/>
          <w:b/>
        </w:rPr>
      </w:pPr>
      <w:r w:rsidRPr="00DD5758">
        <w:rPr>
          <w:rFonts w:ascii="Arial" w:hAnsi="Arial" w:cs="Arial"/>
          <w:b/>
          <w:i/>
          <w:noProof/>
        </w:rPr>
        <mc:AlternateContent>
          <mc:Choice Requires="wps">
            <w:drawing>
              <wp:inline distT="0" distB="0" distL="0" distR="0" wp14:anchorId="2314E867" wp14:editId="269A7FB9">
                <wp:extent cx="5019675" cy="1104900"/>
                <wp:effectExtent l="0" t="0" r="28575" b="19050"/>
                <wp:docPr id="217" name="Text Box 217" descr="Indicates measure owner, measure developer, and measure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1104900"/>
                        </a:xfrm>
                        <a:prstGeom prst="rect">
                          <a:avLst/>
                        </a:prstGeom>
                        <a:solidFill>
                          <a:srgbClr val="FFFFFF"/>
                        </a:solidFill>
                        <a:ln w="9525">
                          <a:solidFill>
                            <a:srgbClr val="000000"/>
                          </a:solidFill>
                          <a:miter lim="800000"/>
                          <a:headEnd/>
                          <a:tailEnd/>
                        </a:ln>
                      </wps:spPr>
                      <wps:txbx>
                        <w:txbxContent>
                          <w:p w14:paraId="190D00AF" w14:textId="265EBD4B" w:rsidR="00ED5E4C" w:rsidRPr="000156AE" w:rsidRDefault="00ED5E4C" w:rsidP="00ED5E4C">
                            <w:pPr>
                              <w:spacing w:after="0" w:line="240" w:lineRule="auto"/>
                              <w:rPr>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009C166F">
                              <w:rPr>
                                <w:iCs/>
                                <w:sz w:val="24"/>
                                <w:szCs w:val="24"/>
                              </w:rPr>
                              <w:t>American Gastroenterological Association</w:t>
                            </w:r>
                          </w:p>
                          <w:p w14:paraId="22DFEF00" w14:textId="3033C11E" w:rsidR="00ED5E4C" w:rsidRPr="00A708D6" w:rsidRDefault="00ED5E4C" w:rsidP="00ED5E4C">
                            <w:pPr>
                              <w:spacing w:after="0" w:line="240" w:lineRule="auto"/>
                              <w:rPr>
                                <w:iCs/>
                              </w:rPr>
                            </w:pPr>
                            <w:r w:rsidRPr="000156AE">
                              <w:rPr>
                                <w:b/>
                                <w:sz w:val="24"/>
                                <w:szCs w:val="24"/>
                              </w:rPr>
                              <w:t>Measure Developer:</w:t>
                            </w:r>
                            <w:r w:rsidRPr="000156AE">
                              <w:rPr>
                                <w:b/>
                              </w:rPr>
                              <w:t xml:space="preserve"> </w:t>
                            </w:r>
                            <w:r w:rsidR="009C166F">
                              <w:rPr>
                                <w:iCs/>
                                <w:sz w:val="24"/>
                                <w:szCs w:val="24"/>
                              </w:rPr>
                              <w:t xml:space="preserve">American Gastroenterological </w:t>
                            </w:r>
                            <w:r w:rsidR="003F0AC2">
                              <w:rPr>
                                <w:iCs/>
                                <w:sz w:val="24"/>
                                <w:szCs w:val="24"/>
                              </w:rPr>
                              <w:t>Association</w:t>
                            </w:r>
                          </w:p>
                          <w:p w14:paraId="5A82063D" w14:textId="082131B4" w:rsidR="00ED5E4C" w:rsidRPr="009C166F" w:rsidRDefault="00ED5E4C" w:rsidP="00ED5E4C">
                            <w:pPr>
                              <w:spacing w:after="0" w:line="240" w:lineRule="auto"/>
                              <w:rPr>
                                <w:sz w:val="24"/>
                                <w:szCs w:val="24"/>
                              </w:rPr>
                            </w:pPr>
                            <w:r w:rsidRPr="000156AE">
                              <w:rPr>
                                <w:b/>
                                <w:sz w:val="24"/>
                                <w:szCs w:val="24"/>
                              </w:rPr>
                              <w:t>Description:</w:t>
                            </w:r>
                            <w:r w:rsidR="00A768A3">
                              <w:rPr>
                                <w:b/>
                                <w:sz w:val="24"/>
                                <w:szCs w:val="24"/>
                              </w:rPr>
                              <w:t xml:space="preserve"> </w:t>
                            </w:r>
                            <w:r w:rsidR="009C166F">
                              <w:rPr>
                                <w:sz w:val="24"/>
                                <w:szCs w:val="24"/>
                              </w:rPr>
                              <w:t xml:space="preserve"> </w:t>
                            </w:r>
                            <w:r w:rsidR="009C166F" w:rsidRPr="009C166F">
                              <w:rPr>
                                <w:bCs/>
                              </w:rPr>
                              <w:t>Percentage of patients aged &gt;= 18 years with active hepatitis C (HCV) with negative/undetectable HCV ribonucleic acid (RNA) at least 20 weeks to 12 months after positive/detectable HCV RNA test result.</w:t>
                            </w:r>
                          </w:p>
                          <w:p w14:paraId="49362A20" w14:textId="77777777" w:rsidR="00ED5E4C" w:rsidRPr="006500F5" w:rsidRDefault="00ED5E4C" w:rsidP="00ED5E4C">
                            <w:pPr>
                              <w:spacing w:after="0" w:line="240" w:lineRule="auto"/>
                              <w:rPr>
                                <w:b/>
                              </w:rPr>
                            </w:pPr>
                          </w:p>
                        </w:txbxContent>
                      </wps:txbx>
                      <wps:bodyPr rot="0" vert="horz" wrap="square" lIns="91440" tIns="45720" rIns="91440" bIns="45720" anchor="t" anchorCtr="0">
                        <a:noAutofit/>
                      </wps:bodyPr>
                    </wps:wsp>
                  </a:graphicData>
                </a:graphic>
              </wp:inline>
            </w:drawing>
          </mc:Choice>
          <mc:Fallback>
            <w:pict>
              <v:shapetype w14:anchorId="2314E867" id="_x0000_t202" coordsize="21600,21600" o:spt="202" path="m,l,21600r21600,l21600,xe">
                <v:stroke joinstyle="miter"/>
                <v:path gradientshapeok="t" o:connecttype="rect"/>
              </v:shapetype>
              <v:shape id="Text Box 217" o:spid="_x0000_s1026" type="#_x0000_t202" alt="Indicates measure owner, measure developer, and measure description" style="width:395.25pt;height: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">
                <v:textbox>
                  <w:txbxContent>
                    <w:p w14:paraId="190D00AF" w14:textId="265EBD4B" w:rsidR="00ED5E4C" w:rsidRPr="000156AE" w:rsidRDefault="00ED5E4C" w:rsidP="00ED5E4C">
                      <w:pPr>
                        <w:spacing w:after="0" w:line="240" w:lineRule="auto"/>
                        <w:rPr>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009C166F">
                        <w:rPr>
                          <w:iCs/>
                          <w:sz w:val="24"/>
                          <w:szCs w:val="24"/>
                        </w:rPr>
                        <w:t>American Gastroenterological Association</w:t>
                      </w:r>
                    </w:p>
                    <w:p w14:paraId="22DFEF00" w14:textId="3033C11E" w:rsidR="00ED5E4C" w:rsidRPr="00A708D6" w:rsidRDefault="00ED5E4C" w:rsidP="00ED5E4C">
                      <w:pPr>
                        <w:spacing w:after="0" w:line="240" w:lineRule="auto"/>
                        <w:rPr>
                          <w:iCs/>
                        </w:rPr>
                      </w:pPr>
                      <w:r w:rsidRPr="000156AE">
                        <w:rPr>
                          <w:b/>
                          <w:sz w:val="24"/>
                          <w:szCs w:val="24"/>
                        </w:rPr>
                        <w:t>Measure Developer:</w:t>
                      </w:r>
                      <w:r w:rsidRPr="000156AE">
                        <w:rPr>
                          <w:b/>
                        </w:rPr>
                        <w:t xml:space="preserve"> </w:t>
                      </w:r>
                      <w:r w:rsidR="009C166F">
                        <w:rPr>
                          <w:iCs/>
                          <w:sz w:val="24"/>
                          <w:szCs w:val="24"/>
                        </w:rPr>
                        <w:t xml:space="preserve">American Gastroenterological </w:t>
                      </w:r>
                      <w:r w:rsidR="003F0AC2">
                        <w:rPr>
                          <w:iCs/>
                          <w:sz w:val="24"/>
                          <w:szCs w:val="24"/>
                        </w:rPr>
                        <w:t>Association</w:t>
                      </w:r>
                    </w:p>
                    <w:p w14:paraId="5A82063D" w14:textId="082131B4" w:rsidR="00ED5E4C" w:rsidRPr="009C166F" w:rsidRDefault="00ED5E4C" w:rsidP="00ED5E4C">
                      <w:pPr>
                        <w:spacing w:after="0" w:line="240" w:lineRule="auto"/>
                        <w:rPr>
                          <w:sz w:val="24"/>
                          <w:szCs w:val="24"/>
                        </w:rPr>
                      </w:pPr>
                      <w:r w:rsidRPr="000156AE">
                        <w:rPr>
                          <w:b/>
                          <w:sz w:val="24"/>
                          <w:szCs w:val="24"/>
                        </w:rPr>
                        <w:t>Description:</w:t>
                      </w:r>
                      <w:r w:rsidR="00A768A3">
                        <w:rPr>
                          <w:b/>
                          <w:sz w:val="24"/>
                          <w:szCs w:val="24"/>
                        </w:rPr>
                        <w:t xml:space="preserve"> </w:t>
                      </w:r>
                      <w:r w:rsidR="009C166F">
                        <w:rPr>
                          <w:sz w:val="24"/>
                          <w:szCs w:val="24"/>
                        </w:rPr>
                        <w:t xml:space="preserve"> </w:t>
                      </w:r>
                      <w:r w:rsidR="009C166F" w:rsidRPr="009C166F">
                        <w:rPr>
                          <w:bCs/>
                        </w:rPr>
                        <w:t>Percentage of patients aged &gt;= 18 years with active hepatitis C (HCV) with negative/undetectable HCV ribonucleic acid (RNA) at least 20 weeks to 12 months after positive/detectable HCV RNA test result.</w:t>
                      </w:r>
                    </w:p>
                    <w:p w14:paraId="49362A20" w14:textId="77777777" w:rsidR="00ED5E4C" w:rsidRPr="006500F5" w:rsidRDefault="00ED5E4C" w:rsidP="00ED5E4C">
                      <w:pPr>
                        <w:spacing w:after="0" w:line="240" w:lineRule="auto"/>
                        <w:rPr>
                          <w:b/>
                        </w:rPr>
                      </w:pPr>
                    </w:p>
                  </w:txbxContent>
                </v:textbox>
                <w10:anchorlock/>
              </v:shape>
            </w:pict>
          </mc:Fallback>
        </mc:AlternateContent>
      </w:r>
    </w:p>
    <w:p w14:paraId="1B9BA5AF" w14:textId="77777777" w:rsidR="00ED5E4C" w:rsidRPr="00DD5758" w:rsidRDefault="00ED5E4C" w:rsidP="00ED5E4C">
      <w:pPr>
        <w:pStyle w:val="ListParagraph"/>
        <w:numPr>
          <w:ilvl w:val="0"/>
          <w:numId w:val="1"/>
        </w:numPr>
        <w:rPr>
          <w:rFonts w:ascii="Arial" w:hAnsi="Arial" w:cs="Arial"/>
          <w:b/>
        </w:rPr>
      </w:pPr>
      <w:r w:rsidRPr="00DD5758">
        <w:rPr>
          <w:rFonts w:ascii="Arial" w:hAnsi="Arial" w:cs="Arial"/>
          <w:b/>
        </w:rPr>
        <w:t>Statement</w:t>
      </w:r>
    </w:p>
    <w:p w14:paraId="3D2FFE6B" w14:textId="6CAFDA9E" w:rsidR="00ED5E4C" w:rsidRDefault="00ED5E4C" w:rsidP="00ED5E4C">
      <w:pPr>
        <w:pStyle w:val="ListParagraph"/>
        <w:numPr>
          <w:ilvl w:val="0"/>
          <w:numId w:val="3"/>
        </w:numPr>
        <w:rPr>
          <w:rFonts w:ascii="Arial" w:hAnsi="Arial" w:cs="Arial"/>
          <w:iCs/>
        </w:rPr>
      </w:pPr>
      <w:r w:rsidRPr="003811D9">
        <w:rPr>
          <w:rFonts w:ascii="Arial" w:hAnsi="Arial" w:cs="Arial"/>
          <w:iCs/>
        </w:rPr>
        <w:t>Background (Why is this measure important?)</w:t>
      </w:r>
      <w:r w:rsidR="00144B72">
        <w:rPr>
          <w:rFonts w:ascii="Arial" w:hAnsi="Arial" w:cs="Arial"/>
          <w:iCs/>
        </w:rPr>
        <w:t>.</w:t>
      </w:r>
    </w:p>
    <w:p w14:paraId="1D9DEEE5" w14:textId="77777777" w:rsidR="009C166F" w:rsidRDefault="009C166F" w:rsidP="009C166F">
      <w:pPr>
        <w:pStyle w:val="ListParagraph"/>
        <w:ind w:left="1440"/>
      </w:pPr>
      <w:r>
        <w:t xml:space="preserve">Achieving Sustained virological response (SVR) is the first step toward reducing future HCV morbidity and mortality. Once achieved, SVR is associated with long-term clearance of HCV infection, which is regarded as a virologic ‘‘cure,’’ as well as with improved morbidity and mortality. </w:t>
      </w:r>
    </w:p>
    <w:p w14:paraId="4EE27D37" w14:textId="77777777" w:rsidR="009C166F" w:rsidRDefault="009C166F" w:rsidP="009C166F">
      <w:pPr>
        <w:pStyle w:val="ListParagraph"/>
        <w:ind w:left="1440"/>
      </w:pPr>
    </w:p>
    <w:p w14:paraId="61EA7F65" w14:textId="77777777" w:rsidR="009C166F" w:rsidRDefault="009C166F" w:rsidP="00D0692B">
      <w:pPr>
        <w:pStyle w:val="ListParagraph"/>
        <w:ind w:left="1440"/>
      </w:pPr>
      <w:r>
        <w:t xml:space="preserve">Nineteen cohort studies (n=105 to 16,864) evaluated the association between SVR after antiviral therapy and mortality or complications of chronic HCV infection.  </w:t>
      </w:r>
    </w:p>
    <w:p w14:paraId="5F82DFD5" w14:textId="0E990660" w:rsidR="009C166F" w:rsidRDefault="009C166F" w:rsidP="009C166F">
      <w:pPr>
        <w:pStyle w:val="ListParagraph"/>
        <w:ind w:left="1440"/>
      </w:pPr>
      <w:r>
        <w:t xml:space="preserve">SVR was associated with decreased risk for all-cause mortality (adjusted hazard rations, 0.07 to </w:t>
      </w:r>
      <w:proofErr w:type="gramStart"/>
      <w:r>
        <w:t>0.39)(</w:t>
      </w:r>
      <w:proofErr w:type="gramEnd"/>
      <w:r>
        <w:t>60, 6169, 72, 73, 75-78), liver-related mortality (adjusted hazard rations, 0.12 to 0.46, and other complications of end-stage liver disease versus no SVR.  The subgroup of studies that focused on patients with advanced fibrosis or cirrhosis at baseline reported similar risk estimates.  (Chou et. al., 2013)</w:t>
      </w:r>
    </w:p>
    <w:p w14:paraId="3AD1DC00" w14:textId="77777777" w:rsidR="009C166F" w:rsidRPr="00FA3C01" w:rsidRDefault="009C166F" w:rsidP="00D0692B">
      <w:pPr>
        <w:pStyle w:val="ListParagraph"/>
        <w:ind w:left="1440"/>
      </w:pPr>
      <w:r w:rsidRPr="00C40DA4">
        <w:t xml:space="preserve">Chou R, Dana T, Fu R, </w:t>
      </w:r>
      <w:proofErr w:type="spellStart"/>
      <w:r w:rsidRPr="00C40DA4">
        <w:t>Zakher</w:t>
      </w:r>
      <w:proofErr w:type="spellEnd"/>
      <w:r w:rsidRPr="00C40DA4">
        <w:t xml:space="preserve"> B, Wagner J, Ramirez S, </w:t>
      </w:r>
      <w:proofErr w:type="spellStart"/>
      <w:r w:rsidRPr="00C40DA4">
        <w:t>Grusing</w:t>
      </w:r>
      <w:proofErr w:type="spellEnd"/>
      <w:r w:rsidRPr="00C40DA4">
        <w:t xml:space="preserve"> S, Jou JH. Screening for Hepatitis C Virus Infection in Adolescents and Adults: Updated Evidence Report and Systematic Review for the US Preventive Services Task Force. JAMA. 2020 Mar 2. </w:t>
      </w:r>
      <w:proofErr w:type="spellStart"/>
      <w:r w:rsidRPr="00C40DA4">
        <w:t>doi</w:t>
      </w:r>
      <w:proofErr w:type="spellEnd"/>
      <w:r w:rsidRPr="00C40DA4">
        <w:t xml:space="preserve">: 10.1001/jama.2019.20788. </w:t>
      </w:r>
      <w:proofErr w:type="spellStart"/>
      <w:r w:rsidRPr="00C40DA4">
        <w:t>Epub</w:t>
      </w:r>
      <w:proofErr w:type="spellEnd"/>
      <w:r w:rsidRPr="00C40DA4">
        <w:t xml:space="preserve"> ahead of print. Erratum in: JAMA. 2020 Apr 7;323(13):1318. PMID: 32119034.</w:t>
      </w:r>
    </w:p>
    <w:p w14:paraId="6CB602FF" w14:textId="77777777" w:rsidR="009C166F" w:rsidRPr="003811D9" w:rsidRDefault="009C166F" w:rsidP="009C166F">
      <w:pPr>
        <w:pStyle w:val="ListParagraph"/>
        <w:ind w:left="1440"/>
        <w:rPr>
          <w:rFonts w:ascii="Arial" w:hAnsi="Arial" w:cs="Arial"/>
          <w:iCs/>
        </w:rPr>
      </w:pPr>
    </w:p>
    <w:p w14:paraId="142D58C9" w14:textId="38E7741F" w:rsidR="009C166F" w:rsidRPr="009C166F" w:rsidRDefault="00ED5E4C" w:rsidP="009C166F">
      <w:pPr>
        <w:pStyle w:val="ListParagraph"/>
        <w:numPr>
          <w:ilvl w:val="0"/>
          <w:numId w:val="3"/>
        </w:numPr>
        <w:contextualSpacing w:val="0"/>
        <w:rPr>
          <w:rFonts w:ascii="Arial" w:hAnsi="Arial" w:cs="Arial"/>
          <w:iCs/>
        </w:rPr>
      </w:pPr>
      <w:r w:rsidRPr="003811D9">
        <w:rPr>
          <w:rFonts w:ascii="Arial" w:hAnsi="Arial" w:cs="Arial"/>
          <w:iCs/>
        </w:rPr>
        <w:t xml:space="preserve">Environmental </w:t>
      </w:r>
      <w:r w:rsidR="00144B72">
        <w:rPr>
          <w:rFonts w:ascii="Arial" w:hAnsi="Arial" w:cs="Arial"/>
          <w:iCs/>
        </w:rPr>
        <w:t>s</w:t>
      </w:r>
      <w:r w:rsidRPr="003811D9">
        <w:rPr>
          <w:rFonts w:ascii="Arial" w:hAnsi="Arial" w:cs="Arial"/>
          <w:iCs/>
        </w:rPr>
        <w:t>can (Are there existing measures in this area?)</w:t>
      </w:r>
      <w:r w:rsidR="00144B72">
        <w:rPr>
          <w:rFonts w:ascii="Arial" w:hAnsi="Arial" w:cs="Arial"/>
          <w:iCs/>
        </w:rPr>
        <w:t>.</w:t>
      </w:r>
    </w:p>
    <w:p w14:paraId="79A4954C" w14:textId="3B28A021" w:rsidR="009C166F" w:rsidRDefault="009C166F" w:rsidP="009C166F">
      <w:pPr>
        <w:pStyle w:val="ListParagraph"/>
        <w:ind w:left="1440"/>
      </w:pPr>
      <w:r>
        <w:t>There are no known competing measures.  The following measures are HCV-related measures that are currently CBE endorsed, but do not address Sustained Virological Response:</w:t>
      </w:r>
    </w:p>
    <w:p w14:paraId="3A008FFA" w14:textId="77777777" w:rsidR="009C166F" w:rsidRDefault="009C166F" w:rsidP="009C166F">
      <w:pPr>
        <w:pStyle w:val="ListParagraph"/>
        <w:ind w:left="1440"/>
      </w:pPr>
    </w:p>
    <w:p w14:paraId="0C350146" w14:textId="12901690" w:rsidR="009C166F" w:rsidRDefault="009C166F" w:rsidP="009C166F">
      <w:pPr>
        <w:pStyle w:val="ListParagraph"/>
        <w:ind w:left="1440"/>
      </w:pPr>
      <w:r>
        <w:t xml:space="preserve">0387:  </w:t>
      </w:r>
      <w:r w:rsidRPr="009C166F">
        <w:t>Annual Hepatitis C Virus (HCV) Screening for Patients who are Active Injection Drug Users</w:t>
      </w:r>
    </w:p>
    <w:p w14:paraId="42A03DF7" w14:textId="739D2F22" w:rsidR="009C166F" w:rsidRDefault="009C166F" w:rsidP="009C166F">
      <w:pPr>
        <w:pStyle w:val="ListParagraph"/>
        <w:ind w:left="1440"/>
      </w:pPr>
      <w:r>
        <w:lastRenderedPageBreak/>
        <w:t>0395:  Hepatitis C:  Ribonucleic Acid (RNA) Testing Before Initiating Treatment (retired)</w:t>
      </w:r>
    </w:p>
    <w:p w14:paraId="187605E6" w14:textId="33917A84" w:rsidR="009C166F" w:rsidRDefault="009C166F" w:rsidP="009C166F">
      <w:pPr>
        <w:pStyle w:val="ListParagraph"/>
        <w:ind w:left="1440"/>
      </w:pPr>
      <w:r>
        <w:t>0396:  Hepatitis C:  HCV Genotype Testing Prior to Treatment (retired)</w:t>
      </w:r>
    </w:p>
    <w:p w14:paraId="61AC4E1F" w14:textId="571110B0" w:rsidR="009C166F" w:rsidRDefault="009C166F" w:rsidP="009C166F">
      <w:pPr>
        <w:pStyle w:val="ListParagraph"/>
        <w:ind w:left="2070" w:hanging="630"/>
      </w:pPr>
      <w:r>
        <w:t>0398:  Hepatitis C:  Hepatitis C Virus (HCV) Ribonucleic Acid (RNA) Testing Between 4-12 Weeks After Initiation of Treatment (retired)</w:t>
      </w:r>
    </w:p>
    <w:p w14:paraId="52F0AB1B" w14:textId="2108D910" w:rsidR="009C166F" w:rsidRDefault="009C166F" w:rsidP="009C166F">
      <w:pPr>
        <w:pStyle w:val="ListParagraph"/>
        <w:ind w:left="2070" w:hanging="630"/>
      </w:pPr>
      <w:r>
        <w:t>0399:</w:t>
      </w:r>
      <w:r>
        <w:tab/>
        <w:t>Hepatitis C:  Hepatitis A Vaccination (retired)</w:t>
      </w:r>
    </w:p>
    <w:p w14:paraId="701441CF" w14:textId="68CB6E51" w:rsidR="009C166F" w:rsidRDefault="009C166F" w:rsidP="009C166F">
      <w:pPr>
        <w:pStyle w:val="ListParagraph"/>
        <w:ind w:left="2070" w:hanging="630"/>
      </w:pPr>
      <w:r>
        <w:t>0400:</w:t>
      </w:r>
      <w:r>
        <w:tab/>
      </w:r>
      <w:r w:rsidRPr="009C166F">
        <w:t>One-Time Screening for Hepatitis C Virus (HCV) and Treatment Initiation</w:t>
      </w:r>
    </w:p>
    <w:p w14:paraId="74A5B568" w14:textId="4C422D2B" w:rsidR="009C166F" w:rsidRDefault="009C166F" w:rsidP="009C166F">
      <w:pPr>
        <w:pStyle w:val="ListParagraph"/>
        <w:ind w:left="2070" w:hanging="630"/>
      </w:pPr>
      <w:r>
        <w:t>0401:</w:t>
      </w:r>
      <w:r>
        <w:tab/>
      </w:r>
      <w:r w:rsidRPr="009C166F">
        <w:t>Hepatitis C: Screening for Hepatocellular Carcinoma (HCC) in Patients with Cirrhosis</w:t>
      </w:r>
    </w:p>
    <w:p w14:paraId="1B76FFCB" w14:textId="77777777" w:rsidR="009C166F" w:rsidRPr="009C166F" w:rsidRDefault="009C166F" w:rsidP="009C166F">
      <w:pPr>
        <w:pStyle w:val="ListParagraph"/>
        <w:ind w:left="2070" w:hanging="630"/>
      </w:pPr>
    </w:p>
    <w:p w14:paraId="3ADF2ED9" w14:textId="77777777" w:rsidR="00ED5E4C" w:rsidRPr="00DD5758" w:rsidRDefault="00ED5E4C" w:rsidP="00ED5E4C">
      <w:pPr>
        <w:pStyle w:val="ListParagraph"/>
        <w:numPr>
          <w:ilvl w:val="0"/>
          <w:numId w:val="1"/>
        </w:numPr>
        <w:rPr>
          <w:rFonts w:ascii="Arial" w:hAnsi="Arial" w:cs="Arial"/>
          <w:b/>
        </w:rPr>
      </w:pPr>
      <w:r w:rsidRPr="00DD5758">
        <w:rPr>
          <w:rFonts w:ascii="Arial" w:hAnsi="Arial" w:cs="Arial"/>
          <w:b/>
        </w:rPr>
        <w:t>Gap Analysis</w:t>
      </w:r>
    </w:p>
    <w:p w14:paraId="1F151187" w14:textId="4A339B31" w:rsidR="00ED5E4C" w:rsidRDefault="00ED5E4C" w:rsidP="00ED5E4C">
      <w:pPr>
        <w:pStyle w:val="ListParagraph"/>
        <w:numPr>
          <w:ilvl w:val="0"/>
          <w:numId w:val="2"/>
        </w:numPr>
        <w:rPr>
          <w:rFonts w:ascii="Arial" w:hAnsi="Arial" w:cs="Arial"/>
          <w:iCs/>
        </w:rPr>
      </w:pPr>
      <w:r w:rsidRPr="003811D9">
        <w:rPr>
          <w:rFonts w:ascii="Arial" w:hAnsi="Arial" w:cs="Arial"/>
          <w:iCs/>
        </w:rPr>
        <w:t xml:space="preserve">Provide </w:t>
      </w:r>
      <w:r w:rsidR="00144B72">
        <w:rPr>
          <w:rFonts w:ascii="Arial" w:hAnsi="Arial" w:cs="Arial"/>
          <w:iCs/>
        </w:rPr>
        <w:t>e</w:t>
      </w:r>
      <w:r w:rsidRPr="003811D9">
        <w:rPr>
          <w:rFonts w:ascii="Arial" w:hAnsi="Arial" w:cs="Arial"/>
          <w:iCs/>
        </w:rPr>
        <w:t xml:space="preserve">vidence for the </w:t>
      </w:r>
      <w:r w:rsidR="00144B72">
        <w:rPr>
          <w:rFonts w:ascii="Arial" w:hAnsi="Arial" w:cs="Arial"/>
          <w:iCs/>
        </w:rPr>
        <w:t>m</w:t>
      </w:r>
      <w:r w:rsidRPr="003811D9">
        <w:rPr>
          <w:rFonts w:ascii="Arial" w:hAnsi="Arial" w:cs="Arial"/>
          <w:iCs/>
        </w:rPr>
        <w:t>easure (What are the gaps and opportunities to improve care?)</w:t>
      </w:r>
      <w:r w:rsidR="00144B72">
        <w:rPr>
          <w:rFonts w:ascii="Arial" w:hAnsi="Arial" w:cs="Arial"/>
          <w:iCs/>
        </w:rPr>
        <w:t>.</w:t>
      </w:r>
    </w:p>
    <w:p w14:paraId="27830FF3" w14:textId="77777777" w:rsidR="009C166F" w:rsidRPr="009C166F" w:rsidRDefault="009C166F" w:rsidP="009C166F">
      <w:pPr>
        <w:pStyle w:val="ListParagraph"/>
        <w:ind w:left="1440"/>
        <w:rPr>
          <w:rFonts w:ascii="Arial" w:hAnsi="Arial" w:cs="Arial"/>
          <w:iCs/>
        </w:rPr>
      </w:pPr>
      <w:r w:rsidRPr="009C166F">
        <w:rPr>
          <w:rFonts w:ascii="Arial" w:hAnsi="Arial" w:cs="Arial"/>
          <w:iCs/>
        </w:rPr>
        <w:t xml:space="preserve">With the advent of new direct acting antiviral treatments, SVR can be as high as 90-95% for most patients.  However, adherence to recommended treatment and follow-up to ensure response to treatment are crucial to ensure high a rate of response.  Emerging data from clinical practice show variation in SVR rate across different institutions, ranging from 65 to 87% for the most widely used combination in 2014. This wide variation provides an opportunity to improve the care of HCV patients.  (Yehia B, Schranz A, Umscheid C, and Lo Re V. The Treatment Cascade for Chronic Hepatitis C Virus Infection in the United Stated: A Systematic Review and Meta-Analysis. </w:t>
      </w:r>
      <w:proofErr w:type="spellStart"/>
      <w:r w:rsidRPr="009C166F">
        <w:rPr>
          <w:rFonts w:ascii="Arial" w:hAnsi="Arial" w:cs="Arial"/>
          <w:iCs/>
        </w:rPr>
        <w:t>PLoS</w:t>
      </w:r>
      <w:proofErr w:type="spellEnd"/>
      <w:r w:rsidRPr="009C166F">
        <w:rPr>
          <w:rFonts w:ascii="Arial" w:hAnsi="Arial" w:cs="Arial"/>
          <w:iCs/>
        </w:rPr>
        <w:t xml:space="preserve"> ONE 9(7), July 2014.)</w:t>
      </w:r>
    </w:p>
    <w:p w14:paraId="6A07AE46" w14:textId="77777777" w:rsidR="009C166F" w:rsidRPr="009C166F" w:rsidRDefault="009C166F" w:rsidP="009C166F">
      <w:pPr>
        <w:pStyle w:val="ListParagraph"/>
        <w:ind w:left="1440"/>
        <w:rPr>
          <w:rFonts w:ascii="Arial" w:hAnsi="Arial" w:cs="Arial"/>
          <w:iCs/>
        </w:rPr>
      </w:pPr>
      <w:r w:rsidRPr="009C166F">
        <w:rPr>
          <w:rFonts w:ascii="Arial" w:hAnsi="Arial" w:cs="Arial"/>
          <w:iCs/>
        </w:rPr>
        <w:t>Testing results for gap:</w:t>
      </w:r>
    </w:p>
    <w:p w14:paraId="43B59AD5" w14:textId="77777777" w:rsidR="009C166F" w:rsidRPr="009C166F" w:rsidRDefault="009C166F" w:rsidP="009C166F">
      <w:pPr>
        <w:pStyle w:val="ListParagraph"/>
        <w:ind w:left="1440"/>
        <w:rPr>
          <w:rFonts w:ascii="Arial" w:hAnsi="Arial" w:cs="Arial"/>
          <w:iCs/>
        </w:rPr>
      </w:pPr>
      <w:r w:rsidRPr="009C166F">
        <w:rPr>
          <w:rFonts w:ascii="Arial" w:hAnsi="Arial" w:cs="Arial"/>
          <w:iCs/>
        </w:rPr>
        <w:t>2022 clinician-level results</w:t>
      </w:r>
    </w:p>
    <w:p w14:paraId="2901AA55" w14:textId="77777777" w:rsidR="009C166F" w:rsidRPr="009C166F" w:rsidRDefault="009C166F" w:rsidP="009C166F">
      <w:pPr>
        <w:pStyle w:val="ListParagraph"/>
        <w:ind w:left="1440"/>
        <w:rPr>
          <w:rFonts w:ascii="Arial" w:hAnsi="Arial" w:cs="Arial"/>
          <w:iCs/>
        </w:rPr>
      </w:pPr>
      <w:r w:rsidRPr="009C166F">
        <w:rPr>
          <w:rFonts w:ascii="Arial" w:hAnsi="Arial" w:cs="Arial"/>
          <w:iCs/>
        </w:rPr>
        <w:t>Mean: 48</w:t>
      </w:r>
    </w:p>
    <w:p w14:paraId="3FF04743" w14:textId="77777777" w:rsidR="009C166F" w:rsidRPr="009C166F" w:rsidRDefault="009C166F" w:rsidP="009C166F">
      <w:pPr>
        <w:pStyle w:val="ListParagraph"/>
        <w:ind w:left="1440"/>
        <w:rPr>
          <w:rFonts w:ascii="Arial" w:hAnsi="Arial" w:cs="Arial"/>
          <w:iCs/>
        </w:rPr>
      </w:pPr>
      <w:r w:rsidRPr="009C166F">
        <w:rPr>
          <w:rFonts w:ascii="Arial" w:hAnsi="Arial" w:cs="Arial"/>
          <w:iCs/>
        </w:rPr>
        <w:t>Min: 23</w:t>
      </w:r>
    </w:p>
    <w:p w14:paraId="7FEA9AA5" w14:textId="77777777" w:rsidR="009C166F" w:rsidRPr="009C166F" w:rsidRDefault="009C166F" w:rsidP="009C166F">
      <w:pPr>
        <w:pStyle w:val="ListParagraph"/>
        <w:ind w:left="1440"/>
        <w:rPr>
          <w:rFonts w:ascii="Arial" w:hAnsi="Arial" w:cs="Arial"/>
          <w:iCs/>
        </w:rPr>
      </w:pPr>
      <w:r w:rsidRPr="009C166F">
        <w:rPr>
          <w:rFonts w:ascii="Arial" w:hAnsi="Arial" w:cs="Arial"/>
          <w:iCs/>
        </w:rPr>
        <w:t>Max: 63</w:t>
      </w:r>
    </w:p>
    <w:p w14:paraId="663BACD1" w14:textId="77777777" w:rsidR="009C166F" w:rsidRPr="009C166F" w:rsidRDefault="009C166F" w:rsidP="009C166F">
      <w:pPr>
        <w:pStyle w:val="ListParagraph"/>
        <w:ind w:left="1440"/>
        <w:rPr>
          <w:rFonts w:ascii="Arial" w:hAnsi="Arial" w:cs="Arial"/>
          <w:iCs/>
        </w:rPr>
      </w:pPr>
      <w:r w:rsidRPr="009C166F">
        <w:rPr>
          <w:rFonts w:ascii="Arial" w:hAnsi="Arial" w:cs="Arial"/>
          <w:iCs/>
        </w:rPr>
        <w:t>Theoretical upper limit score: 100</w:t>
      </w:r>
    </w:p>
    <w:p w14:paraId="1A61B7F4" w14:textId="77777777" w:rsidR="009C166F" w:rsidRPr="009C166F" w:rsidRDefault="009C166F" w:rsidP="009C166F">
      <w:pPr>
        <w:pStyle w:val="ListParagraph"/>
        <w:ind w:left="1440"/>
        <w:rPr>
          <w:rFonts w:ascii="Arial" w:hAnsi="Arial" w:cs="Arial"/>
          <w:iCs/>
        </w:rPr>
      </w:pPr>
      <w:r w:rsidRPr="009C166F">
        <w:rPr>
          <w:rFonts w:ascii="Arial" w:hAnsi="Arial" w:cs="Arial"/>
          <w:iCs/>
        </w:rPr>
        <w:t>Theoretical lower limit score: 0</w:t>
      </w:r>
    </w:p>
    <w:p w14:paraId="31DABFF1" w14:textId="77777777" w:rsidR="009C166F" w:rsidRPr="009C166F" w:rsidRDefault="009C166F" w:rsidP="009C166F">
      <w:pPr>
        <w:pStyle w:val="ListParagraph"/>
        <w:ind w:left="1440"/>
        <w:rPr>
          <w:rFonts w:ascii="Arial" w:hAnsi="Arial" w:cs="Arial"/>
          <w:iCs/>
        </w:rPr>
      </w:pPr>
      <w:r w:rsidRPr="009C166F">
        <w:rPr>
          <w:rFonts w:ascii="Arial" w:hAnsi="Arial" w:cs="Arial"/>
          <w:iCs/>
        </w:rPr>
        <w:t>2022 clinician group-level results</w:t>
      </w:r>
    </w:p>
    <w:p w14:paraId="30025226" w14:textId="77777777" w:rsidR="009C166F" w:rsidRPr="009C166F" w:rsidRDefault="009C166F" w:rsidP="009C166F">
      <w:pPr>
        <w:pStyle w:val="ListParagraph"/>
        <w:ind w:left="1440"/>
        <w:rPr>
          <w:rFonts w:ascii="Arial" w:hAnsi="Arial" w:cs="Arial"/>
          <w:iCs/>
        </w:rPr>
      </w:pPr>
      <w:r w:rsidRPr="009C166F">
        <w:rPr>
          <w:rFonts w:ascii="Arial" w:hAnsi="Arial" w:cs="Arial"/>
          <w:iCs/>
        </w:rPr>
        <w:t>Mean: 44</w:t>
      </w:r>
    </w:p>
    <w:p w14:paraId="64164E39" w14:textId="77777777" w:rsidR="009C166F" w:rsidRPr="009C166F" w:rsidRDefault="009C166F" w:rsidP="009C166F">
      <w:pPr>
        <w:pStyle w:val="ListParagraph"/>
        <w:ind w:left="1440"/>
        <w:rPr>
          <w:rFonts w:ascii="Arial" w:hAnsi="Arial" w:cs="Arial"/>
          <w:iCs/>
        </w:rPr>
      </w:pPr>
      <w:r w:rsidRPr="009C166F">
        <w:rPr>
          <w:rFonts w:ascii="Arial" w:hAnsi="Arial" w:cs="Arial"/>
          <w:iCs/>
        </w:rPr>
        <w:t>Min: 35</w:t>
      </w:r>
    </w:p>
    <w:p w14:paraId="46C3D96B" w14:textId="77777777" w:rsidR="009C166F" w:rsidRPr="009C166F" w:rsidRDefault="009C166F" w:rsidP="009C166F">
      <w:pPr>
        <w:pStyle w:val="ListParagraph"/>
        <w:ind w:left="1440"/>
        <w:rPr>
          <w:rFonts w:ascii="Arial" w:hAnsi="Arial" w:cs="Arial"/>
          <w:iCs/>
        </w:rPr>
      </w:pPr>
      <w:r w:rsidRPr="009C166F">
        <w:rPr>
          <w:rFonts w:ascii="Arial" w:hAnsi="Arial" w:cs="Arial"/>
          <w:iCs/>
        </w:rPr>
        <w:t>Max: 57</w:t>
      </w:r>
    </w:p>
    <w:p w14:paraId="6278A93F" w14:textId="77777777" w:rsidR="009C166F" w:rsidRPr="009C166F" w:rsidRDefault="009C166F" w:rsidP="009C166F">
      <w:pPr>
        <w:pStyle w:val="ListParagraph"/>
        <w:ind w:left="1440"/>
        <w:rPr>
          <w:rFonts w:ascii="Arial" w:hAnsi="Arial" w:cs="Arial"/>
          <w:iCs/>
        </w:rPr>
      </w:pPr>
      <w:r w:rsidRPr="009C166F">
        <w:rPr>
          <w:rFonts w:ascii="Arial" w:hAnsi="Arial" w:cs="Arial"/>
          <w:iCs/>
        </w:rPr>
        <w:t>Theoretical upper limit score: 100</w:t>
      </w:r>
    </w:p>
    <w:p w14:paraId="4A01CBC0" w14:textId="77777777" w:rsidR="009C166F" w:rsidRPr="009C166F" w:rsidRDefault="009C166F" w:rsidP="009C166F">
      <w:pPr>
        <w:pStyle w:val="ListParagraph"/>
        <w:ind w:left="1440"/>
        <w:rPr>
          <w:rFonts w:ascii="Arial" w:hAnsi="Arial" w:cs="Arial"/>
          <w:iCs/>
        </w:rPr>
      </w:pPr>
      <w:r w:rsidRPr="009C166F">
        <w:rPr>
          <w:rFonts w:ascii="Arial" w:hAnsi="Arial" w:cs="Arial"/>
          <w:iCs/>
        </w:rPr>
        <w:t>Theoretical lower limit score: 0</w:t>
      </w:r>
    </w:p>
    <w:p w14:paraId="7038A250" w14:textId="41F253E0" w:rsidR="009C166F" w:rsidRDefault="009C166F" w:rsidP="009C166F">
      <w:pPr>
        <w:pStyle w:val="ListParagraph"/>
        <w:ind w:left="1440"/>
        <w:rPr>
          <w:rFonts w:ascii="Arial" w:hAnsi="Arial" w:cs="Arial"/>
          <w:iCs/>
        </w:rPr>
      </w:pPr>
      <w:r w:rsidRPr="009C166F">
        <w:rPr>
          <w:rFonts w:ascii="Arial" w:hAnsi="Arial" w:cs="Arial"/>
          <w:iCs/>
        </w:rPr>
        <w:t>Highly effective direct-acting antiviral (DAA) therapy for the treatment of HCV results in high rates of SVR if treatment is completed. Mean performance scores of 48% have substantial room for improvement and can be improved via treatment initiation, treatment completion, patient follow-up, and care coordination.</w:t>
      </w:r>
    </w:p>
    <w:p w14:paraId="794A2610" w14:textId="77777777" w:rsidR="009C166F" w:rsidRPr="003811D9" w:rsidRDefault="009C166F" w:rsidP="009C166F">
      <w:pPr>
        <w:pStyle w:val="ListParagraph"/>
        <w:ind w:left="1440"/>
        <w:rPr>
          <w:rFonts w:ascii="Arial" w:hAnsi="Arial" w:cs="Arial"/>
          <w:iCs/>
        </w:rPr>
      </w:pPr>
    </w:p>
    <w:p w14:paraId="064E2197" w14:textId="7380D08E" w:rsidR="00ED5E4C" w:rsidRDefault="00ED5E4C" w:rsidP="00ED5E4C">
      <w:pPr>
        <w:pStyle w:val="ListParagraph"/>
        <w:numPr>
          <w:ilvl w:val="0"/>
          <w:numId w:val="2"/>
        </w:numPr>
        <w:rPr>
          <w:rFonts w:ascii="Arial" w:hAnsi="Arial" w:cs="Arial"/>
          <w:iCs/>
        </w:rPr>
      </w:pPr>
      <w:r w:rsidRPr="003811D9">
        <w:rPr>
          <w:rFonts w:ascii="Arial" w:hAnsi="Arial" w:cs="Arial"/>
          <w:iCs/>
        </w:rPr>
        <w:t xml:space="preserve">Expected </w:t>
      </w:r>
      <w:r w:rsidR="00144B72">
        <w:rPr>
          <w:rFonts w:ascii="Arial" w:hAnsi="Arial" w:cs="Arial"/>
          <w:iCs/>
        </w:rPr>
        <w:t>o</w:t>
      </w:r>
      <w:r w:rsidRPr="003811D9">
        <w:rPr>
          <w:rFonts w:ascii="Arial" w:hAnsi="Arial" w:cs="Arial"/>
          <w:iCs/>
        </w:rPr>
        <w:t>utcome (</w:t>
      </w:r>
      <w:r w:rsidR="00144B72">
        <w:rPr>
          <w:rFonts w:ascii="Arial" w:hAnsi="Arial" w:cs="Arial"/>
          <w:iCs/>
        </w:rPr>
        <w:t>p</w:t>
      </w:r>
      <w:r w:rsidRPr="003811D9">
        <w:rPr>
          <w:rFonts w:ascii="Arial" w:hAnsi="Arial" w:cs="Arial"/>
          <w:iCs/>
        </w:rPr>
        <w:t>atient care/patient health improvements, cost savings)</w:t>
      </w:r>
      <w:r w:rsidR="00144B72">
        <w:rPr>
          <w:rFonts w:ascii="Arial" w:hAnsi="Arial" w:cs="Arial"/>
          <w:iCs/>
        </w:rPr>
        <w:t>.</w:t>
      </w:r>
    </w:p>
    <w:p w14:paraId="7A2F05F9" w14:textId="77777777" w:rsidR="009C166F" w:rsidRPr="009C166F" w:rsidRDefault="009C166F" w:rsidP="009C166F">
      <w:pPr>
        <w:pStyle w:val="ListParagraph"/>
        <w:ind w:left="1440"/>
        <w:rPr>
          <w:rFonts w:ascii="Arial" w:hAnsi="Arial" w:cs="Arial"/>
          <w:iCs/>
        </w:rPr>
      </w:pPr>
      <w:r w:rsidRPr="009C166F">
        <w:rPr>
          <w:rFonts w:ascii="Arial" w:hAnsi="Arial" w:cs="Arial"/>
          <w:iCs/>
        </w:rPr>
        <w:t>1.</w:t>
      </w:r>
      <w:r w:rsidRPr="009C166F">
        <w:rPr>
          <w:rFonts w:ascii="Arial" w:hAnsi="Arial" w:cs="Arial"/>
          <w:iCs/>
        </w:rPr>
        <w:tab/>
        <w:t>Reduce mortality of patients with chronic hepatitis C.</w:t>
      </w:r>
    </w:p>
    <w:p w14:paraId="69C5BBE6" w14:textId="79052926" w:rsidR="009C166F" w:rsidRDefault="009C166F" w:rsidP="009C166F">
      <w:pPr>
        <w:pStyle w:val="ListParagraph"/>
        <w:ind w:left="1440"/>
        <w:rPr>
          <w:rFonts w:ascii="Arial" w:hAnsi="Arial" w:cs="Arial"/>
          <w:iCs/>
        </w:rPr>
      </w:pPr>
      <w:r w:rsidRPr="009C166F">
        <w:rPr>
          <w:rFonts w:ascii="Arial" w:hAnsi="Arial" w:cs="Arial"/>
          <w:iCs/>
        </w:rPr>
        <w:t>2.</w:t>
      </w:r>
      <w:r w:rsidRPr="009C166F">
        <w:rPr>
          <w:rFonts w:ascii="Arial" w:hAnsi="Arial" w:cs="Arial"/>
          <w:iCs/>
        </w:rPr>
        <w:tab/>
        <w:t>Reduce the risk of hepatic decompensation and liver cancer in patients with chronic hepatitis C</w:t>
      </w:r>
    </w:p>
    <w:p w14:paraId="2664D3AB" w14:textId="77777777" w:rsidR="009C166F" w:rsidRPr="009C166F" w:rsidRDefault="009C166F" w:rsidP="009C166F">
      <w:pPr>
        <w:pStyle w:val="ListParagraph"/>
        <w:ind w:left="1440"/>
        <w:rPr>
          <w:rFonts w:ascii="Arial" w:hAnsi="Arial" w:cs="Arial"/>
          <w:iCs/>
        </w:rPr>
      </w:pPr>
      <w:r w:rsidRPr="009C166F">
        <w:rPr>
          <w:rFonts w:ascii="Arial" w:hAnsi="Arial" w:cs="Arial"/>
          <w:iCs/>
        </w:rPr>
        <w:t>3.</w:t>
      </w:r>
      <w:r w:rsidRPr="009C166F">
        <w:rPr>
          <w:rFonts w:ascii="Arial" w:hAnsi="Arial" w:cs="Arial"/>
          <w:iCs/>
        </w:rPr>
        <w:tab/>
        <w:t>Improve health related quality of life of patients with chronic hepatitis C</w:t>
      </w:r>
    </w:p>
    <w:p w14:paraId="6816A3A9" w14:textId="0519016B" w:rsidR="009C166F" w:rsidRPr="003811D9" w:rsidRDefault="009C166F" w:rsidP="009C166F">
      <w:pPr>
        <w:pStyle w:val="ListParagraph"/>
        <w:ind w:left="1440"/>
        <w:rPr>
          <w:rFonts w:ascii="Arial" w:hAnsi="Arial" w:cs="Arial"/>
          <w:iCs/>
        </w:rPr>
      </w:pPr>
      <w:r w:rsidRPr="009C166F">
        <w:rPr>
          <w:rFonts w:ascii="Arial" w:hAnsi="Arial" w:cs="Arial"/>
          <w:iCs/>
        </w:rPr>
        <w:t>4.</w:t>
      </w:r>
      <w:r w:rsidRPr="009C166F">
        <w:rPr>
          <w:rFonts w:ascii="Arial" w:hAnsi="Arial" w:cs="Arial"/>
          <w:iCs/>
        </w:rPr>
        <w:tab/>
        <w:t>Reduce the cost of hepatitis C care by minimizing the need for re-treatment as well as reducing the risk of long-term adverse outcomes.</w:t>
      </w:r>
    </w:p>
    <w:p w14:paraId="7E6B6482" w14:textId="2FCDD026" w:rsidR="00ED5E4C" w:rsidRDefault="00ED5E4C" w:rsidP="00ED5E4C">
      <w:pPr>
        <w:pStyle w:val="ListParagraph"/>
        <w:numPr>
          <w:ilvl w:val="0"/>
          <w:numId w:val="2"/>
        </w:numPr>
        <w:contextualSpacing w:val="0"/>
        <w:rPr>
          <w:rFonts w:ascii="Arial" w:hAnsi="Arial" w:cs="Arial"/>
          <w:iCs/>
        </w:rPr>
      </w:pPr>
      <w:r w:rsidRPr="003811D9">
        <w:rPr>
          <w:rFonts w:ascii="Arial" w:hAnsi="Arial" w:cs="Arial"/>
          <w:iCs/>
        </w:rPr>
        <w:t xml:space="preserve">Recommendation for the </w:t>
      </w:r>
      <w:r w:rsidR="00144B72">
        <w:rPr>
          <w:rFonts w:ascii="Arial" w:hAnsi="Arial" w:cs="Arial"/>
          <w:iCs/>
        </w:rPr>
        <w:t>m</w:t>
      </w:r>
      <w:r w:rsidRPr="003811D9">
        <w:rPr>
          <w:rFonts w:ascii="Arial" w:hAnsi="Arial" w:cs="Arial"/>
          <w:iCs/>
        </w:rPr>
        <w:t>easure (Is it based on a study, consensus opinion, USPSTF recommendation etc.?)</w:t>
      </w:r>
      <w:r w:rsidR="00144B72">
        <w:rPr>
          <w:rFonts w:ascii="Arial" w:hAnsi="Arial" w:cs="Arial"/>
          <w:iCs/>
        </w:rPr>
        <w:t>.</w:t>
      </w:r>
    </w:p>
    <w:p w14:paraId="5F202306" w14:textId="77777777" w:rsidR="009C166F" w:rsidRPr="009C166F" w:rsidRDefault="009C166F" w:rsidP="009C166F">
      <w:pPr>
        <w:pStyle w:val="ListParagraph"/>
        <w:ind w:left="1440"/>
        <w:rPr>
          <w:rFonts w:ascii="Arial" w:hAnsi="Arial" w:cs="Arial"/>
          <w:iCs/>
        </w:rPr>
      </w:pPr>
      <w:r w:rsidRPr="009C166F">
        <w:rPr>
          <w:rFonts w:ascii="Arial" w:hAnsi="Arial" w:cs="Arial"/>
          <w:iCs/>
        </w:rPr>
        <w:t>The recommendation is based on the following studies:</w:t>
      </w:r>
    </w:p>
    <w:p w14:paraId="6EEC8F98" w14:textId="77777777" w:rsidR="009C166F" w:rsidRPr="009C166F" w:rsidRDefault="009C166F" w:rsidP="009C166F">
      <w:pPr>
        <w:pStyle w:val="ListParagraph"/>
        <w:ind w:left="1440"/>
        <w:rPr>
          <w:rFonts w:ascii="Arial" w:hAnsi="Arial" w:cs="Arial"/>
          <w:iCs/>
        </w:rPr>
      </w:pPr>
      <w:r w:rsidRPr="009C166F">
        <w:rPr>
          <w:rFonts w:ascii="Arial" w:hAnsi="Arial" w:cs="Arial"/>
          <w:iCs/>
        </w:rPr>
        <w:t>•</w:t>
      </w:r>
      <w:r w:rsidRPr="009C166F">
        <w:rPr>
          <w:rFonts w:ascii="Arial" w:hAnsi="Arial" w:cs="Arial"/>
          <w:iCs/>
        </w:rPr>
        <w:tab/>
        <w:t>AASLD Practice Guidelines:  Hepatitis C.  https://www.aasld.org/practice-guidelines/hepatitis-c</w:t>
      </w:r>
    </w:p>
    <w:p w14:paraId="044DA213" w14:textId="77777777" w:rsidR="009C166F" w:rsidRPr="009C166F" w:rsidRDefault="009C166F" w:rsidP="009C166F">
      <w:pPr>
        <w:pStyle w:val="ListParagraph"/>
        <w:ind w:left="1440"/>
        <w:rPr>
          <w:rFonts w:ascii="Arial" w:hAnsi="Arial" w:cs="Arial"/>
          <w:iCs/>
        </w:rPr>
      </w:pPr>
      <w:r w:rsidRPr="009C166F">
        <w:rPr>
          <w:rFonts w:ascii="Arial" w:hAnsi="Arial" w:cs="Arial"/>
          <w:iCs/>
        </w:rPr>
        <w:t>•</w:t>
      </w:r>
      <w:r w:rsidRPr="009C166F">
        <w:rPr>
          <w:rFonts w:ascii="Arial" w:hAnsi="Arial" w:cs="Arial"/>
          <w:iCs/>
        </w:rPr>
        <w:tab/>
        <w:t xml:space="preserve">Backus LI, Boothroyd DB, Phillips BR, </w:t>
      </w:r>
      <w:proofErr w:type="spellStart"/>
      <w:r w:rsidRPr="009C166F">
        <w:rPr>
          <w:rFonts w:ascii="Arial" w:hAnsi="Arial" w:cs="Arial"/>
          <w:iCs/>
        </w:rPr>
        <w:t>Belperio</w:t>
      </w:r>
      <w:proofErr w:type="spellEnd"/>
      <w:r w:rsidRPr="009C166F">
        <w:rPr>
          <w:rFonts w:ascii="Arial" w:hAnsi="Arial" w:cs="Arial"/>
          <w:iCs/>
        </w:rPr>
        <w:t xml:space="preserve"> P, Halloran J, Mole LA. A sustained virologic response reduces </w:t>
      </w:r>
      <w:proofErr w:type="gramStart"/>
      <w:r w:rsidRPr="009C166F">
        <w:rPr>
          <w:rFonts w:ascii="Arial" w:hAnsi="Arial" w:cs="Arial"/>
          <w:iCs/>
        </w:rPr>
        <w:t>risk</w:t>
      </w:r>
      <w:proofErr w:type="gramEnd"/>
      <w:r w:rsidRPr="009C166F">
        <w:rPr>
          <w:rFonts w:ascii="Arial" w:hAnsi="Arial" w:cs="Arial"/>
          <w:iCs/>
        </w:rPr>
        <w:t xml:space="preserve"> of all-cause mortality in patients with hepatitis C. Clin Gastroenterol Hepatol. 2011;9(6):509-516.</w:t>
      </w:r>
    </w:p>
    <w:p w14:paraId="314F5D17" w14:textId="77777777" w:rsidR="009C166F" w:rsidRPr="009C166F" w:rsidRDefault="009C166F" w:rsidP="009C166F">
      <w:pPr>
        <w:pStyle w:val="ListParagraph"/>
        <w:ind w:left="1440"/>
        <w:rPr>
          <w:rFonts w:ascii="Arial" w:hAnsi="Arial" w:cs="Arial"/>
          <w:iCs/>
        </w:rPr>
      </w:pPr>
      <w:r w:rsidRPr="009C166F">
        <w:rPr>
          <w:rFonts w:ascii="Arial" w:hAnsi="Arial" w:cs="Arial"/>
          <w:iCs/>
        </w:rPr>
        <w:lastRenderedPageBreak/>
        <w:t>•</w:t>
      </w:r>
      <w:r w:rsidRPr="009C166F">
        <w:rPr>
          <w:rFonts w:ascii="Arial" w:hAnsi="Arial" w:cs="Arial"/>
          <w:iCs/>
        </w:rPr>
        <w:tab/>
        <w:t>Berenguer J, Álvarez-Pellicer J, Martin PM, et al. Sustained virological response to interferon plus ribavirin reduces liver-related complications and mortality in patients coinfected with human immunodeficiency virus and hepatitis C virus. Hepatology. 2009;50(2):407-413.</w:t>
      </w:r>
    </w:p>
    <w:p w14:paraId="4CB2F8F2" w14:textId="77777777" w:rsidR="009C166F" w:rsidRPr="009C166F" w:rsidRDefault="009C166F" w:rsidP="009C166F">
      <w:pPr>
        <w:pStyle w:val="ListParagraph"/>
        <w:ind w:left="1440"/>
        <w:rPr>
          <w:rFonts w:ascii="Arial" w:hAnsi="Arial" w:cs="Arial"/>
          <w:iCs/>
        </w:rPr>
      </w:pPr>
      <w:r w:rsidRPr="009C166F">
        <w:rPr>
          <w:rFonts w:ascii="Arial" w:hAnsi="Arial" w:cs="Arial"/>
          <w:iCs/>
        </w:rPr>
        <w:t>•</w:t>
      </w:r>
      <w:r w:rsidRPr="009C166F">
        <w:rPr>
          <w:rFonts w:ascii="Arial" w:hAnsi="Arial" w:cs="Arial"/>
          <w:iCs/>
        </w:rPr>
        <w:tab/>
        <w:t>Bruneau J, Zang G, Abrahamowicz M, Jutras-Aswad D, Daniel M, Roy E. Sustained drug use changes after hepatitis C screening and counseling among recently infected persons who inject drugs: a longitudinal study. Clin Infect Dis. 2014;58(6):755-761.</w:t>
      </w:r>
    </w:p>
    <w:p w14:paraId="09054198" w14:textId="77777777" w:rsidR="009C166F" w:rsidRPr="009C166F" w:rsidRDefault="009C166F" w:rsidP="009C166F">
      <w:pPr>
        <w:pStyle w:val="ListParagraph"/>
        <w:ind w:left="1440"/>
        <w:rPr>
          <w:rFonts w:ascii="Arial" w:hAnsi="Arial" w:cs="Arial"/>
          <w:iCs/>
          <w:lang w:val="es-CO"/>
        </w:rPr>
      </w:pPr>
      <w:r w:rsidRPr="009C166F">
        <w:rPr>
          <w:rFonts w:ascii="Arial" w:hAnsi="Arial" w:cs="Arial"/>
          <w:iCs/>
        </w:rPr>
        <w:t>•</w:t>
      </w:r>
      <w:r w:rsidRPr="009C166F">
        <w:rPr>
          <w:rFonts w:ascii="Arial" w:hAnsi="Arial" w:cs="Arial"/>
          <w:iCs/>
        </w:rPr>
        <w:tab/>
        <w:t xml:space="preserve">Chou R, Hartung D, Rahman B, Wasson N, Cottrell EB, Fu R. Comparative Effectiveness of Antiviral Treatment for Hepatitis C Virus Infection in Adults: A Systematic Review. </w:t>
      </w:r>
      <w:r w:rsidRPr="009C166F">
        <w:rPr>
          <w:rFonts w:ascii="Arial" w:hAnsi="Arial" w:cs="Arial"/>
          <w:iCs/>
          <w:lang w:val="es-CO"/>
        </w:rPr>
        <w:t xml:space="preserve">Ann </w:t>
      </w:r>
      <w:proofErr w:type="spellStart"/>
      <w:r w:rsidRPr="009C166F">
        <w:rPr>
          <w:rFonts w:ascii="Arial" w:hAnsi="Arial" w:cs="Arial"/>
          <w:iCs/>
          <w:lang w:val="es-CO"/>
        </w:rPr>
        <w:t>Intern</w:t>
      </w:r>
      <w:proofErr w:type="spellEnd"/>
      <w:r w:rsidRPr="009C166F">
        <w:rPr>
          <w:rFonts w:ascii="Arial" w:hAnsi="Arial" w:cs="Arial"/>
          <w:iCs/>
          <w:lang w:val="es-CO"/>
        </w:rPr>
        <w:t xml:space="preserve"> </w:t>
      </w:r>
      <w:proofErr w:type="spellStart"/>
      <w:r w:rsidRPr="009C166F">
        <w:rPr>
          <w:rFonts w:ascii="Arial" w:hAnsi="Arial" w:cs="Arial"/>
          <w:iCs/>
          <w:lang w:val="es-CO"/>
        </w:rPr>
        <w:t>Med</w:t>
      </w:r>
      <w:proofErr w:type="spellEnd"/>
      <w:r w:rsidRPr="009C166F">
        <w:rPr>
          <w:rFonts w:ascii="Arial" w:hAnsi="Arial" w:cs="Arial"/>
          <w:iCs/>
          <w:lang w:val="es-CO"/>
        </w:rPr>
        <w:t xml:space="preserve">. </w:t>
      </w:r>
      <w:proofErr w:type="gramStart"/>
      <w:r w:rsidRPr="009C166F">
        <w:rPr>
          <w:rFonts w:ascii="Arial" w:hAnsi="Arial" w:cs="Arial"/>
          <w:iCs/>
          <w:lang w:val="es-CO"/>
        </w:rPr>
        <w:t>2013;158:114</w:t>
      </w:r>
      <w:proofErr w:type="gramEnd"/>
      <w:r w:rsidRPr="009C166F">
        <w:rPr>
          <w:rFonts w:ascii="Arial" w:hAnsi="Arial" w:cs="Arial"/>
          <w:iCs/>
          <w:lang w:val="es-CO"/>
        </w:rPr>
        <w:t>-123. doi:10.7326/0003-4819-158-2-201301150-00576.</w:t>
      </w:r>
    </w:p>
    <w:p w14:paraId="29B22A5A" w14:textId="77777777" w:rsidR="009C166F" w:rsidRPr="009C166F" w:rsidRDefault="009C166F" w:rsidP="009C166F">
      <w:pPr>
        <w:pStyle w:val="ListParagraph"/>
        <w:ind w:left="1440"/>
        <w:rPr>
          <w:rFonts w:ascii="Arial" w:hAnsi="Arial" w:cs="Arial"/>
          <w:iCs/>
        </w:rPr>
      </w:pPr>
      <w:r w:rsidRPr="009C166F">
        <w:rPr>
          <w:rFonts w:ascii="Arial" w:hAnsi="Arial" w:cs="Arial"/>
          <w:iCs/>
          <w:lang w:val="es-CO"/>
        </w:rPr>
        <w:t>•</w:t>
      </w:r>
      <w:r w:rsidRPr="009C166F">
        <w:rPr>
          <w:rFonts w:ascii="Arial" w:hAnsi="Arial" w:cs="Arial"/>
          <w:iCs/>
          <w:lang w:val="es-CO"/>
        </w:rPr>
        <w:tab/>
        <w:t xml:space="preserve">Coppola N, De PS, </w:t>
      </w:r>
      <w:proofErr w:type="spellStart"/>
      <w:r w:rsidRPr="009C166F">
        <w:rPr>
          <w:rFonts w:ascii="Arial" w:hAnsi="Arial" w:cs="Arial"/>
          <w:iCs/>
          <w:lang w:val="es-CO"/>
        </w:rPr>
        <w:t>Pisaturo</w:t>
      </w:r>
      <w:proofErr w:type="spellEnd"/>
      <w:r w:rsidRPr="009C166F">
        <w:rPr>
          <w:rFonts w:ascii="Arial" w:hAnsi="Arial" w:cs="Arial"/>
          <w:iCs/>
          <w:lang w:val="es-CO"/>
        </w:rPr>
        <w:t xml:space="preserve"> M, et al. </w:t>
      </w:r>
      <w:r w:rsidRPr="009C166F">
        <w:rPr>
          <w:rFonts w:ascii="Arial" w:hAnsi="Arial" w:cs="Arial"/>
          <w:iCs/>
        </w:rPr>
        <w:t xml:space="preserve">Sustained virological response to antiviral treatment in chronic hepatitis C patients may be predictable by HCV-RNA clearance in peripheral blood mononuclear cells. J Clin </w:t>
      </w:r>
      <w:proofErr w:type="spellStart"/>
      <w:r w:rsidRPr="009C166F">
        <w:rPr>
          <w:rFonts w:ascii="Arial" w:hAnsi="Arial" w:cs="Arial"/>
          <w:iCs/>
        </w:rPr>
        <w:t>Virol</w:t>
      </w:r>
      <w:proofErr w:type="spellEnd"/>
      <w:r w:rsidRPr="009C166F">
        <w:rPr>
          <w:rFonts w:ascii="Arial" w:hAnsi="Arial" w:cs="Arial"/>
          <w:iCs/>
        </w:rPr>
        <w:t>. 2013;58(4):748-750.</w:t>
      </w:r>
    </w:p>
    <w:p w14:paraId="330F9923" w14:textId="77777777" w:rsidR="009C166F" w:rsidRPr="009C166F" w:rsidRDefault="009C166F" w:rsidP="009C166F">
      <w:pPr>
        <w:pStyle w:val="ListParagraph"/>
        <w:ind w:left="1440"/>
        <w:rPr>
          <w:rFonts w:ascii="Arial" w:hAnsi="Arial" w:cs="Arial"/>
          <w:iCs/>
          <w:lang w:val="es-CO"/>
        </w:rPr>
      </w:pPr>
      <w:r w:rsidRPr="009C166F">
        <w:rPr>
          <w:rFonts w:ascii="Arial" w:hAnsi="Arial" w:cs="Arial"/>
          <w:iCs/>
        </w:rPr>
        <w:t>•</w:t>
      </w:r>
      <w:r w:rsidRPr="009C166F">
        <w:rPr>
          <w:rFonts w:ascii="Arial" w:hAnsi="Arial" w:cs="Arial"/>
          <w:iCs/>
        </w:rPr>
        <w:tab/>
        <w:t xml:space="preserve">Feld JJ, Moreno C, Trinh R, et al. Sustained virologic response of 100% in HCV genotype 1b patients with cirrhosis receiving </w:t>
      </w:r>
      <w:proofErr w:type="spellStart"/>
      <w:r w:rsidRPr="009C166F">
        <w:rPr>
          <w:rFonts w:ascii="Arial" w:hAnsi="Arial" w:cs="Arial"/>
          <w:iCs/>
        </w:rPr>
        <w:t>ombitasvir</w:t>
      </w:r>
      <w:proofErr w:type="spellEnd"/>
      <w:r w:rsidRPr="009C166F">
        <w:rPr>
          <w:rFonts w:ascii="Arial" w:hAnsi="Arial" w:cs="Arial"/>
          <w:iCs/>
        </w:rPr>
        <w:t>/</w:t>
      </w:r>
      <w:proofErr w:type="spellStart"/>
      <w:r w:rsidRPr="009C166F">
        <w:rPr>
          <w:rFonts w:ascii="Arial" w:hAnsi="Arial" w:cs="Arial"/>
          <w:iCs/>
        </w:rPr>
        <w:t>paritaprevir</w:t>
      </w:r>
      <w:proofErr w:type="spellEnd"/>
      <w:r w:rsidRPr="009C166F">
        <w:rPr>
          <w:rFonts w:ascii="Arial" w:hAnsi="Arial" w:cs="Arial"/>
          <w:iCs/>
        </w:rPr>
        <w:t xml:space="preserve">/r and dasabuvir for 12weeks. </w:t>
      </w:r>
      <w:r w:rsidRPr="009C166F">
        <w:rPr>
          <w:rFonts w:ascii="Arial" w:hAnsi="Arial" w:cs="Arial"/>
          <w:iCs/>
          <w:lang w:val="es-CO"/>
        </w:rPr>
        <w:t xml:space="preserve">J </w:t>
      </w:r>
      <w:proofErr w:type="spellStart"/>
      <w:r w:rsidRPr="009C166F">
        <w:rPr>
          <w:rFonts w:ascii="Arial" w:hAnsi="Arial" w:cs="Arial"/>
          <w:iCs/>
          <w:lang w:val="es-CO"/>
        </w:rPr>
        <w:t>Hepatol</w:t>
      </w:r>
      <w:proofErr w:type="spellEnd"/>
      <w:r w:rsidRPr="009C166F">
        <w:rPr>
          <w:rFonts w:ascii="Arial" w:hAnsi="Arial" w:cs="Arial"/>
          <w:iCs/>
          <w:lang w:val="es-CO"/>
        </w:rPr>
        <w:t>. 2016;64(2):301-7.</w:t>
      </w:r>
    </w:p>
    <w:p w14:paraId="78729067" w14:textId="77777777" w:rsidR="009C166F" w:rsidRPr="009C166F" w:rsidRDefault="009C166F" w:rsidP="009C166F">
      <w:pPr>
        <w:pStyle w:val="ListParagraph"/>
        <w:ind w:left="1440"/>
        <w:rPr>
          <w:rFonts w:ascii="Arial" w:hAnsi="Arial" w:cs="Arial"/>
          <w:iCs/>
        </w:rPr>
      </w:pPr>
      <w:r w:rsidRPr="009C166F">
        <w:rPr>
          <w:rFonts w:ascii="Arial" w:hAnsi="Arial" w:cs="Arial"/>
          <w:iCs/>
          <w:lang w:val="es-CO"/>
        </w:rPr>
        <w:t>•</w:t>
      </w:r>
      <w:r w:rsidRPr="009C166F">
        <w:rPr>
          <w:rFonts w:ascii="Arial" w:hAnsi="Arial" w:cs="Arial"/>
          <w:iCs/>
          <w:lang w:val="es-CO"/>
        </w:rPr>
        <w:tab/>
        <w:t xml:space="preserve">Mira JA, Rivero-Juárez A, López-Cortes LF, et al. </w:t>
      </w:r>
      <w:r w:rsidRPr="009C166F">
        <w:rPr>
          <w:rFonts w:ascii="Arial" w:hAnsi="Arial" w:cs="Arial"/>
          <w:iCs/>
        </w:rPr>
        <w:t>Benefits from sustained virologic response to pegylated interferon plus ribavirin in HIV/hepatitis C virus-coinfected patients with compensated cirrhosis. Clin Infect Dis. 2013;56(11):1646-1653.</w:t>
      </w:r>
    </w:p>
    <w:p w14:paraId="5E1AC490" w14:textId="77777777" w:rsidR="009C166F" w:rsidRPr="009C166F" w:rsidRDefault="009C166F" w:rsidP="009C166F">
      <w:pPr>
        <w:pStyle w:val="ListParagraph"/>
        <w:ind w:left="1440"/>
        <w:rPr>
          <w:rFonts w:ascii="Arial" w:hAnsi="Arial" w:cs="Arial"/>
          <w:iCs/>
        </w:rPr>
      </w:pPr>
      <w:r w:rsidRPr="009C166F">
        <w:rPr>
          <w:rFonts w:ascii="Arial" w:hAnsi="Arial" w:cs="Arial"/>
          <w:iCs/>
        </w:rPr>
        <w:t>•</w:t>
      </w:r>
      <w:r w:rsidRPr="009C166F">
        <w:rPr>
          <w:rFonts w:ascii="Arial" w:hAnsi="Arial" w:cs="Arial"/>
          <w:iCs/>
        </w:rPr>
        <w:tab/>
        <w:t>Morgan TR, Ghany MG, Kim HY, et al. Outcome of sustained virological responders with histologically advanced chronic hepatitis C. Hepatology. 2010;52(3):833-844.</w:t>
      </w:r>
    </w:p>
    <w:p w14:paraId="43F3BFF9" w14:textId="77777777" w:rsidR="009C166F" w:rsidRPr="009C166F" w:rsidRDefault="009C166F" w:rsidP="009C166F">
      <w:pPr>
        <w:pStyle w:val="ListParagraph"/>
        <w:ind w:left="1440"/>
        <w:rPr>
          <w:rFonts w:ascii="Arial" w:hAnsi="Arial" w:cs="Arial"/>
          <w:iCs/>
        </w:rPr>
      </w:pPr>
      <w:r w:rsidRPr="009C166F">
        <w:rPr>
          <w:rFonts w:ascii="Arial" w:hAnsi="Arial" w:cs="Arial"/>
          <w:iCs/>
          <w:lang w:val="es-CO"/>
        </w:rPr>
        <w:t>•</w:t>
      </w:r>
      <w:r w:rsidRPr="009C166F">
        <w:rPr>
          <w:rFonts w:ascii="Arial" w:hAnsi="Arial" w:cs="Arial"/>
          <w:iCs/>
          <w:lang w:val="es-CO"/>
        </w:rPr>
        <w:tab/>
        <w:t xml:space="preserve">Morisco F, Granata R, </w:t>
      </w:r>
      <w:proofErr w:type="spellStart"/>
      <w:r w:rsidRPr="009C166F">
        <w:rPr>
          <w:rFonts w:ascii="Arial" w:hAnsi="Arial" w:cs="Arial"/>
          <w:iCs/>
          <w:lang w:val="es-CO"/>
        </w:rPr>
        <w:t>Stroffolini</w:t>
      </w:r>
      <w:proofErr w:type="spellEnd"/>
      <w:r w:rsidRPr="009C166F">
        <w:rPr>
          <w:rFonts w:ascii="Arial" w:hAnsi="Arial" w:cs="Arial"/>
          <w:iCs/>
          <w:lang w:val="es-CO"/>
        </w:rPr>
        <w:t xml:space="preserve"> T, et al. </w:t>
      </w:r>
      <w:r w:rsidRPr="009C166F">
        <w:rPr>
          <w:rFonts w:ascii="Arial" w:hAnsi="Arial" w:cs="Arial"/>
          <w:iCs/>
        </w:rPr>
        <w:t>Sustained virological response: a milestone in the treatment of chronic hepatitis C. World J Gastroenterol. 2013;19(18):2793-2798.</w:t>
      </w:r>
    </w:p>
    <w:p w14:paraId="7918905D" w14:textId="77777777" w:rsidR="009C166F" w:rsidRPr="009C166F" w:rsidRDefault="009C166F" w:rsidP="009C166F">
      <w:pPr>
        <w:pStyle w:val="ListParagraph"/>
        <w:ind w:left="1440"/>
        <w:rPr>
          <w:rFonts w:ascii="Arial" w:hAnsi="Arial" w:cs="Arial"/>
          <w:iCs/>
        </w:rPr>
      </w:pPr>
      <w:r w:rsidRPr="009C166F">
        <w:rPr>
          <w:rFonts w:ascii="Arial" w:hAnsi="Arial" w:cs="Arial"/>
          <w:iCs/>
        </w:rPr>
        <w:t>•</w:t>
      </w:r>
      <w:r w:rsidRPr="009C166F">
        <w:rPr>
          <w:rFonts w:ascii="Arial" w:hAnsi="Arial" w:cs="Arial"/>
          <w:iCs/>
        </w:rPr>
        <w:tab/>
        <w:t>Neary MP, Cort S, Bayliss MS, Ware JE, Jr. Sustained virologic response is associated with improved health-related quality of life in relapsed chronic hepatitis C patients. Semin Liver Dis. 1999;19(Suppl 1):77-85.</w:t>
      </w:r>
    </w:p>
    <w:p w14:paraId="3E6748FB" w14:textId="77777777" w:rsidR="009C166F" w:rsidRPr="009C166F" w:rsidRDefault="009C166F" w:rsidP="009C166F">
      <w:pPr>
        <w:pStyle w:val="ListParagraph"/>
        <w:ind w:left="1440"/>
        <w:rPr>
          <w:rFonts w:ascii="Arial" w:hAnsi="Arial" w:cs="Arial"/>
          <w:iCs/>
        </w:rPr>
      </w:pPr>
      <w:r w:rsidRPr="009C166F">
        <w:rPr>
          <w:rFonts w:ascii="Arial" w:hAnsi="Arial" w:cs="Arial"/>
          <w:iCs/>
          <w:lang w:val="es-CO"/>
        </w:rPr>
        <w:t>•</w:t>
      </w:r>
      <w:r w:rsidRPr="009C166F">
        <w:rPr>
          <w:rFonts w:ascii="Arial" w:hAnsi="Arial" w:cs="Arial"/>
          <w:iCs/>
          <w:lang w:val="es-CO"/>
        </w:rPr>
        <w:tab/>
      </w:r>
      <w:proofErr w:type="spellStart"/>
      <w:r w:rsidRPr="009C166F">
        <w:rPr>
          <w:rFonts w:ascii="Arial" w:hAnsi="Arial" w:cs="Arial"/>
          <w:iCs/>
          <w:lang w:val="es-CO"/>
        </w:rPr>
        <w:t>Picciotto</w:t>
      </w:r>
      <w:proofErr w:type="spellEnd"/>
      <w:r w:rsidRPr="009C166F">
        <w:rPr>
          <w:rFonts w:ascii="Arial" w:hAnsi="Arial" w:cs="Arial"/>
          <w:iCs/>
          <w:lang w:val="es-CO"/>
        </w:rPr>
        <w:t xml:space="preserve"> FP, </w:t>
      </w:r>
      <w:proofErr w:type="spellStart"/>
      <w:r w:rsidRPr="009C166F">
        <w:rPr>
          <w:rFonts w:ascii="Arial" w:hAnsi="Arial" w:cs="Arial"/>
          <w:iCs/>
          <w:lang w:val="es-CO"/>
        </w:rPr>
        <w:t>Tritto</w:t>
      </w:r>
      <w:proofErr w:type="spellEnd"/>
      <w:r w:rsidRPr="009C166F">
        <w:rPr>
          <w:rFonts w:ascii="Arial" w:hAnsi="Arial" w:cs="Arial"/>
          <w:iCs/>
          <w:lang w:val="es-CO"/>
        </w:rPr>
        <w:t xml:space="preserve"> G, Lanza AG, et al. </w:t>
      </w:r>
      <w:r w:rsidRPr="009C166F">
        <w:rPr>
          <w:rFonts w:ascii="Arial" w:hAnsi="Arial" w:cs="Arial"/>
          <w:iCs/>
        </w:rPr>
        <w:t>Sustained virological response to antiviral therapy reduces mortality in HCV reinfection after liver transplantation. J Hepatol. 2007;46(3):459-465.</w:t>
      </w:r>
    </w:p>
    <w:p w14:paraId="1B678F24" w14:textId="77777777" w:rsidR="009C166F" w:rsidRPr="009C166F" w:rsidRDefault="009C166F" w:rsidP="009C166F">
      <w:pPr>
        <w:pStyle w:val="ListParagraph"/>
        <w:ind w:left="1440"/>
        <w:rPr>
          <w:rFonts w:ascii="Arial" w:hAnsi="Arial" w:cs="Arial"/>
          <w:iCs/>
          <w:lang w:val="es-CO"/>
        </w:rPr>
      </w:pPr>
      <w:r w:rsidRPr="009C166F">
        <w:rPr>
          <w:rFonts w:ascii="Arial" w:hAnsi="Arial" w:cs="Arial"/>
          <w:iCs/>
        </w:rPr>
        <w:t>•</w:t>
      </w:r>
      <w:r w:rsidRPr="009C166F">
        <w:rPr>
          <w:rFonts w:ascii="Arial" w:hAnsi="Arial" w:cs="Arial"/>
          <w:iCs/>
        </w:rPr>
        <w:tab/>
        <w:t xml:space="preserve">Singal AG, Volk ML, Jensen D, Di Bisceglie AM, Schoenfeld PS. A sustained viral response is associated with reduced liver-related morbidity and mortality in patients with hepatitis C virus. </w:t>
      </w:r>
      <w:r w:rsidRPr="009C166F">
        <w:rPr>
          <w:rFonts w:ascii="Arial" w:hAnsi="Arial" w:cs="Arial"/>
          <w:iCs/>
          <w:lang w:val="es-CO"/>
        </w:rPr>
        <w:t xml:space="preserve">Clin </w:t>
      </w:r>
      <w:proofErr w:type="spellStart"/>
      <w:r w:rsidRPr="009C166F">
        <w:rPr>
          <w:rFonts w:ascii="Arial" w:hAnsi="Arial" w:cs="Arial"/>
          <w:iCs/>
          <w:lang w:val="es-CO"/>
        </w:rPr>
        <w:t>Gastroenterol</w:t>
      </w:r>
      <w:proofErr w:type="spellEnd"/>
      <w:r w:rsidRPr="009C166F">
        <w:rPr>
          <w:rFonts w:ascii="Arial" w:hAnsi="Arial" w:cs="Arial"/>
          <w:iCs/>
          <w:lang w:val="es-CO"/>
        </w:rPr>
        <w:t xml:space="preserve"> </w:t>
      </w:r>
      <w:proofErr w:type="spellStart"/>
      <w:r w:rsidRPr="009C166F">
        <w:rPr>
          <w:rFonts w:ascii="Arial" w:hAnsi="Arial" w:cs="Arial"/>
          <w:iCs/>
          <w:lang w:val="es-CO"/>
        </w:rPr>
        <w:t>Hepatol</w:t>
      </w:r>
      <w:proofErr w:type="spellEnd"/>
      <w:r w:rsidRPr="009C166F">
        <w:rPr>
          <w:rFonts w:ascii="Arial" w:hAnsi="Arial" w:cs="Arial"/>
          <w:iCs/>
          <w:lang w:val="es-CO"/>
        </w:rPr>
        <w:t>. 2010;8(3):280-8, 288.</w:t>
      </w:r>
    </w:p>
    <w:p w14:paraId="6EEB1644" w14:textId="77777777" w:rsidR="009C166F" w:rsidRPr="009C166F" w:rsidRDefault="009C166F" w:rsidP="009C166F">
      <w:pPr>
        <w:pStyle w:val="ListParagraph"/>
        <w:ind w:left="1440"/>
        <w:rPr>
          <w:rFonts w:ascii="Arial" w:hAnsi="Arial" w:cs="Arial"/>
          <w:iCs/>
        </w:rPr>
      </w:pPr>
      <w:r w:rsidRPr="009C166F">
        <w:rPr>
          <w:rFonts w:ascii="Arial" w:hAnsi="Arial" w:cs="Arial"/>
          <w:iCs/>
          <w:lang w:val="es-CO"/>
        </w:rPr>
        <w:t>•</w:t>
      </w:r>
      <w:r w:rsidRPr="009C166F">
        <w:rPr>
          <w:rFonts w:ascii="Arial" w:hAnsi="Arial" w:cs="Arial"/>
          <w:iCs/>
          <w:lang w:val="es-CO"/>
        </w:rPr>
        <w:tab/>
        <w:t xml:space="preserve">van </w:t>
      </w:r>
      <w:proofErr w:type="spellStart"/>
      <w:r w:rsidRPr="009C166F">
        <w:rPr>
          <w:rFonts w:ascii="Arial" w:hAnsi="Arial" w:cs="Arial"/>
          <w:iCs/>
          <w:lang w:val="es-CO"/>
        </w:rPr>
        <w:t>der</w:t>
      </w:r>
      <w:proofErr w:type="spellEnd"/>
      <w:r w:rsidRPr="009C166F">
        <w:rPr>
          <w:rFonts w:ascii="Arial" w:hAnsi="Arial" w:cs="Arial"/>
          <w:iCs/>
          <w:lang w:val="es-CO"/>
        </w:rPr>
        <w:t xml:space="preserve"> </w:t>
      </w:r>
      <w:proofErr w:type="spellStart"/>
      <w:r w:rsidRPr="009C166F">
        <w:rPr>
          <w:rFonts w:ascii="Arial" w:hAnsi="Arial" w:cs="Arial"/>
          <w:iCs/>
          <w:lang w:val="es-CO"/>
        </w:rPr>
        <w:t>Meer</w:t>
      </w:r>
      <w:proofErr w:type="spellEnd"/>
      <w:r w:rsidRPr="009C166F">
        <w:rPr>
          <w:rFonts w:ascii="Arial" w:hAnsi="Arial" w:cs="Arial"/>
          <w:iCs/>
          <w:lang w:val="es-CO"/>
        </w:rPr>
        <w:t xml:space="preserve"> AJ, </w:t>
      </w:r>
      <w:proofErr w:type="spellStart"/>
      <w:r w:rsidRPr="009C166F">
        <w:rPr>
          <w:rFonts w:ascii="Arial" w:hAnsi="Arial" w:cs="Arial"/>
          <w:iCs/>
          <w:lang w:val="es-CO"/>
        </w:rPr>
        <w:t>Veldt</w:t>
      </w:r>
      <w:proofErr w:type="spellEnd"/>
      <w:r w:rsidRPr="009C166F">
        <w:rPr>
          <w:rFonts w:ascii="Arial" w:hAnsi="Arial" w:cs="Arial"/>
          <w:iCs/>
          <w:lang w:val="es-CO"/>
        </w:rPr>
        <w:t xml:space="preserve"> BJ, </w:t>
      </w:r>
      <w:proofErr w:type="spellStart"/>
      <w:r w:rsidRPr="009C166F">
        <w:rPr>
          <w:rFonts w:ascii="Arial" w:hAnsi="Arial" w:cs="Arial"/>
          <w:iCs/>
          <w:lang w:val="es-CO"/>
        </w:rPr>
        <w:t>Feld</w:t>
      </w:r>
      <w:proofErr w:type="spellEnd"/>
      <w:r w:rsidRPr="009C166F">
        <w:rPr>
          <w:rFonts w:ascii="Arial" w:hAnsi="Arial" w:cs="Arial"/>
          <w:iCs/>
          <w:lang w:val="es-CO"/>
        </w:rPr>
        <w:t xml:space="preserve"> JJ, et al. </w:t>
      </w:r>
      <w:r w:rsidRPr="009C166F">
        <w:rPr>
          <w:rFonts w:ascii="Arial" w:hAnsi="Arial" w:cs="Arial"/>
          <w:iCs/>
        </w:rPr>
        <w:t>Association between sustained virological response and all-cause mortality among patients with chronic hepatitis C and advanced hepatic fibrosis. JAMA. 2012;308(24):2584-2593.</w:t>
      </w:r>
    </w:p>
    <w:p w14:paraId="4BC225C4" w14:textId="77777777" w:rsidR="009C166F" w:rsidRPr="009C166F" w:rsidRDefault="009C166F" w:rsidP="009C166F">
      <w:pPr>
        <w:pStyle w:val="ListParagraph"/>
        <w:ind w:left="1440"/>
        <w:rPr>
          <w:rFonts w:ascii="Arial" w:hAnsi="Arial" w:cs="Arial"/>
          <w:iCs/>
        </w:rPr>
      </w:pPr>
      <w:r w:rsidRPr="009C166F">
        <w:rPr>
          <w:rFonts w:ascii="Arial" w:hAnsi="Arial" w:cs="Arial"/>
          <w:iCs/>
        </w:rPr>
        <w:t>•</w:t>
      </w:r>
      <w:r w:rsidRPr="009C166F">
        <w:rPr>
          <w:rFonts w:ascii="Arial" w:hAnsi="Arial" w:cs="Arial"/>
          <w:iCs/>
        </w:rPr>
        <w:tab/>
        <w:t>Veldt BJ, Heathcote EJ, Wedemeyer H, et al. Sustained virologic response and clinical outcomes in patients with chronic hepatitis C and advanced fibrosis. Ann Intern Med. 2007;147(10):677-684.</w:t>
      </w:r>
    </w:p>
    <w:p w14:paraId="1AF613CB" w14:textId="722F9BCE" w:rsidR="009C166F" w:rsidRPr="003811D9" w:rsidRDefault="009C166F" w:rsidP="009C166F">
      <w:pPr>
        <w:pStyle w:val="ListParagraph"/>
        <w:ind w:left="1440"/>
        <w:contextualSpacing w:val="0"/>
        <w:rPr>
          <w:rFonts w:ascii="Arial" w:hAnsi="Arial" w:cs="Arial"/>
          <w:iCs/>
        </w:rPr>
      </w:pPr>
      <w:r w:rsidRPr="009C166F">
        <w:rPr>
          <w:rFonts w:ascii="Arial" w:hAnsi="Arial" w:cs="Arial"/>
          <w:iCs/>
        </w:rPr>
        <w:t>•</w:t>
      </w:r>
      <w:r w:rsidRPr="009C166F">
        <w:rPr>
          <w:rFonts w:ascii="Arial" w:hAnsi="Arial" w:cs="Arial"/>
          <w:iCs/>
        </w:rPr>
        <w:tab/>
      </w:r>
      <w:proofErr w:type="spellStart"/>
      <w:r w:rsidRPr="009C166F">
        <w:rPr>
          <w:rFonts w:ascii="Arial" w:hAnsi="Arial" w:cs="Arial"/>
          <w:iCs/>
        </w:rPr>
        <w:t>Zeuzem</w:t>
      </w:r>
      <w:proofErr w:type="spellEnd"/>
      <w:r w:rsidRPr="009C166F">
        <w:rPr>
          <w:rFonts w:ascii="Arial" w:hAnsi="Arial" w:cs="Arial"/>
          <w:iCs/>
        </w:rPr>
        <w:t xml:space="preserve"> S, Berg T, Gane E, et al. </w:t>
      </w:r>
      <w:proofErr w:type="spellStart"/>
      <w:r w:rsidRPr="009C166F">
        <w:rPr>
          <w:rFonts w:ascii="Arial" w:hAnsi="Arial" w:cs="Arial"/>
          <w:iCs/>
        </w:rPr>
        <w:t>Simeprevir</w:t>
      </w:r>
      <w:proofErr w:type="spellEnd"/>
      <w:r w:rsidRPr="009C166F">
        <w:rPr>
          <w:rFonts w:ascii="Arial" w:hAnsi="Arial" w:cs="Arial"/>
          <w:iCs/>
        </w:rPr>
        <w:t xml:space="preserve"> increases rate of sustained virologic response among treatment-experienced patients with HCV genotype-1 infection: a phase IIb trial. Gastroenterology 2014</w:t>
      </w:r>
      <w:proofErr w:type="gramStart"/>
      <w:r w:rsidRPr="009C166F">
        <w:rPr>
          <w:rFonts w:ascii="Arial" w:hAnsi="Arial" w:cs="Arial"/>
          <w:iCs/>
        </w:rPr>
        <w:t>c;146:430</w:t>
      </w:r>
      <w:proofErr w:type="gramEnd"/>
      <w:r w:rsidRPr="009C166F">
        <w:rPr>
          <w:rFonts w:ascii="Arial" w:hAnsi="Arial" w:cs="Arial"/>
          <w:iCs/>
        </w:rPr>
        <w:t>-441 e436.</w:t>
      </w:r>
    </w:p>
    <w:p w14:paraId="78FBDA71" w14:textId="77777777" w:rsidR="00ED5E4C" w:rsidRPr="005D6A32" w:rsidRDefault="00ED5E4C" w:rsidP="00ED5E4C">
      <w:pPr>
        <w:pStyle w:val="ListParagraph"/>
        <w:numPr>
          <w:ilvl w:val="0"/>
          <w:numId w:val="1"/>
        </w:numPr>
        <w:rPr>
          <w:rFonts w:ascii="Arial" w:hAnsi="Arial" w:cs="Arial"/>
        </w:rPr>
      </w:pPr>
      <w:r w:rsidRPr="00BF6DE9">
        <w:rPr>
          <w:rFonts w:ascii="Arial" w:hAnsi="Arial" w:cs="Arial"/>
          <w:b/>
        </w:rPr>
        <w:t>Reliability/Validity</w:t>
      </w:r>
    </w:p>
    <w:p w14:paraId="033E352A" w14:textId="6833BA49" w:rsidR="00AD3462" w:rsidRPr="003811D9" w:rsidRDefault="00ED5E4C" w:rsidP="003811D9">
      <w:pPr>
        <w:pStyle w:val="ListParagraph"/>
        <w:numPr>
          <w:ilvl w:val="0"/>
          <w:numId w:val="7"/>
        </w:numPr>
        <w:ind w:left="1440" w:hanging="360"/>
        <w:rPr>
          <w:rFonts w:ascii="Arial" w:hAnsi="Arial" w:cs="Arial"/>
          <w:iCs/>
        </w:rPr>
      </w:pPr>
      <w:r w:rsidRPr="003811D9">
        <w:rPr>
          <w:rFonts w:ascii="Arial" w:hAnsi="Arial" w:cs="Arial"/>
          <w:iCs/>
        </w:rPr>
        <w:t xml:space="preserve">What testing has been performed at the level of </w:t>
      </w:r>
      <w:r w:rsidR="00784BCE" w:rsidRPr="003811D9">
        <w:rPr>
          <w:rFonts w:ascii="Arial" w:hAnsi="Arial" w:cs="Arial"/>
          <w:iCs/>
        </w:rPr>
        <w:t xml:space="preserve">implementation? </w:t>
      </w:r>
      <w:r w:rsidR="00D50BF8" w:rsidRPr="003811D9">
        <w:rPr>
          <w:rFonts w:ascii="Arial" w:hAnsi="Arial" w:cs="Arial"/>
          <w:iCs/>
        </w:rPr>
        <w:t xml:space="preserve">(MIPS requires </w:t>
      </w:r>
      <w:r w:rsidR="008D6829">
        <w:rPr>
          <w:rFonts w:ascii="Arial" w:hAnsi="Arial" w:cs="Arial"/>
          <w:iCs/>
        </w:rPr>
        <w:t xml:space="preserve">full </w:t>
      </w:r>
      <w:r w:rsidR="00D50BF8" w:rsidRPr="003811D9">
        <w:rPr>
          <w:rFonts w:ascii="Arial" w:hAnsi="Arial" w:cs="Arial"/>
          <w:iCs/>
        </w:rPr>
        <w:t>measure testing at the individual clinician level (and may also need to be tested at the group level) for MIPS</w:t>
      </w:r>
      <w:r w:rsidR="000D0ECA" w:rsidRPr="003811D9">
        <w:rPr>
          <w:rFonts w:ascii="Arial" w:hAnsi="Arial" w:cs="Arial"/>
          <w:iCs/>
        </w:rPr>
        <w:t xml:space="preserve"> Clinical Quality Measures</w:t>
      </w:r>
      <w:r w:rsidR="00D50BF8" w:rsidRPr="003811D9">
        <w:rPr>
          <w:rFonts w:ascii="Arial" w:hAnsi="Arial" w:cs="Arial"/>
          <w:iCs/>
        </w:rPr>
        <w:t xml:space="preserve"> </w:t>
      </w:r>
      <w:r w:rsidR="000D0ECA" w:rsidRPr="003811D9">
        <w:rPr>
          <w:rFonts w:ascii="Arial" w:hAnsi="Arial" w:cs="Arial"/>
          <w:iCs/>
        </w:rPr>
        <w:t>(</w:t>
      </w:r>
      <w:r w:rsidR="00D50BF8" w:rsidRPr="003811D9">
        <w:rPr>
          <w:rFonts w:ascii="Arial" w:hAnsi="Arial" w:cs="Arial"/>
          <w:iCs/>
        </w:rPr>
        <w:t>CQM</w:t>
      </w:r>
      <w:r w:rsidR="000D0ECA" w:rsidRPr="003811D9">
        <w:rPr>
          <w:rFonts w:ascii="Arial" w:hAnsi="Arial" w:cs="Arial"/>
          <w:iCs/>
        </w:rPr>
        <w:t>s)</w:t>
      </w:r>
      <w:r w:rsidR="00D50BF8" w:rsidRPr="003811D9">
        <w:rPr>
          <w:rFonts w:ascii="Arial" w:hAnsi="Arial" w:cs="Arial"/>
          <w:iCs/>
        </w:rPr>
        <w:t xml:space="preserve"> and </w:t>
      </w:r>
      <w:r w:rsidR="000D0ECA" w:rsidRPr="003811D9">
        <w:rPr>
          <w:rFonts w:ascii="Arial" w:hAnsi="Arial" w:cs="Arial"/>
          <w:iCs/>
        </w:rPr>
        <w:t>Electronic Clinical Quality Measures (</w:t>
      </w:r>
      <w:r w:rsidR="00D50BF8" w:rsidRPr="003811D9">
        <w:rPr>
          <w:rFonts w:ascii="Arial" w:hAnsi="Arial" w:cs="Arial"/>
          <w:iCs/>
        </w:rPr>
        <w:t>eCQM</w:t>
      </w:r>
      <w:r w:rsidR="000D0ECA" w:rsidRPr="003811D9">
        <w:rPr>
          <w:rFonts w:ascii="Arial" w:hAnsi="Arial" w:cs="Arial"/>
          <w:iCs/>
        </w:rPr>
        <w:t>s)</w:t>
      </w:r>
      <w:r w:rsidR="00D50BF8" w:rsidRPr="003811D9">
        <w:rPr>
          <w:rFonts w:ascii="Arial" w:hAnsi="Arial" w:cs="Arial"/>
          <w:iCs/>
        </w:rPr>
        <w:t xml:space="preserve"> collection types. Administrative claims measures tested at the group level require a reliability threshold to be implemented at the group level</w:t>
      </w:r>
      <w:r w:rsidR="00DE4ABB">
        <w:rPr>
          <w:rFonts w:ascii="Arial" w:hAnsi="Arial" w:cs="Arial"/>
          <w:iCs/>
        </w:rPr>
        <w:t>.</w:t>
      </w:r>
      <w:r w:rsidR="00D50BF8" w:rsidRPr="003811D9">
        <w:rPr>
          <w:rFonts w:ascii="Arial" w:hAnsi="Arial" w:cs="Arial"/>
          <w:iCs/>
        </w:rPr>
        <w:t xml:space="preserve">) </w:t>
      </w:r>
    </w:p>
    <w:p w14:paraId="70F80DC5" w14:textId="73229694" w:rsidR="00ED5E4C" w:rsidRPr="003811D9" w:rsidRDefault="00ED5E4C" w:rsidP="003811D9">
      <w:pPr>
        <w:ind w:left="1440"/>
        <w:rPr>
          <w:rFonts w:ascii="Arial" w:hAnsi="Arial" w:cs="Arial"/>
          <w:iCs/>
        </w:rPr>
      </w:pPr>
      <w:r w:rsidRPr="003811D9">
        <w:rPr>
          <w:rFonts w:ascii="Arial" w:hAnsi="Arial" w:cs="Arial"/>
          <w:iCs/>
        </w:rPr>
        <w:t xml:space="preserve">Please provide testing results including the N value, Bonnie test case results, correlation coefficient and any other pertinent information or values to be considered. </w:t>
      </w:r>
    </w:p>
    <w:p w14:paraId="77352DFB" w14:textId="37E32F87" w:rsidR="00ED5E4C" w:rsidRDefault="00ED5E4C" w:rsidP="003811D9">
      <w:pPr>
        <w:pStyle w:val="ListParagraph"/>
        <w:numPr>
          <w:ilvl w:val="1"/>
          <w:numId w:val="6"/>
        </w:numPr>
        <w:ind w:left="1890"/>
        <w:rPr>
          <w:rFonts w:ascii="Arial" w:hAnsi="Arial" w:cs="Arial"/>
          <w:iCs/>
        </w:rPr>
      </w:pPr>
      <w:r w:rsidRPr="003811D9">
        <w:rPr>
          <w:rFonts w:ascii="Arial" w:hAnsi="Arial" w:cs="Arial"/>
          <w:iCs/>
        </w:rPr>
        <w:t>Reliability Testing Results</w:t>
      </w:r>
      <w:r w:rsidR="00C448ED">
        <w:rPr>
          <w:rFonts w:ascii="Arial" w:hAnsi="Arial" w:cs="Arial"/>
          <w:iCs/>
        </w:rPr>
        <w:t xml:space="preserve"> at the accountable entity level</w:t>
      </w:r>
    </w:p>
    <w:p w14:paraId="576DFCCC" w14:textId="77777777" w:rsidR="00D0692B" w:rsidRDefault="00D0692B" w:rsidP="0052066B">
      <w:pPr>
        <w:pStyle w:val="ListParagraph"/>
        <w:ind w:left="1890"/>
        <w:rPr>
          <w:rFonts w:ascii="Arial" w:hAnsi="Arial" w:cs="Arial"/>
          <w:iCs/>
        </w:rPr>
      </w:pPr>
    </w:p>
    <w:p w14:paraId="2CCF0E66" w14:textId="77777777" w:rsidR="00D0692B" w:rsidRPr="00D0692B" w:rsidRDefault="00D0692B" w:rsidP="00D0692B">
      <w:pPr>
        <w:pStyle w:val="ListParagraph"/>
        <w:ind w:left="1890"/>
        <w:rPr>
          <w:rFonts w:ascii="Arial" w:hAnsi="Arial" w:cs="Arial"/>
          <w:iCs/>
        </w:rPr>
      </w:pPr>
      <w:r w:rsidRPr="00D0692B">
        <w:rPr>
          <w:rFonts w:ascii="Arial" w:hAnsi="Arial" w:cs="Arial"/>
          <w:iCs/>
        </w:rPr>
        <w:t>Performance scores</w:t>
      </w:r>
    </w:p>
    <w:p w14:paraId="1E6817DA" w14:textId="77777777" w:rsidR="00D0692B" w:rsidRPr="00D0692B" w:rsidRDefault="00D0692B" w:rsidP="00D0692B">
      <w:pPr>
        <w:pStyle w:val="ListParagraph"/>
        <w:ind w:left="1890"/>
        <w:rPr>
          <w:rFonts w:ascii="Arial" w:hAnsi="Arial" w:cs="Arial"/>
          <w:iCs/>
        </w:rPr>
      </w:pPr>
      <w:r w:rsidRPr="00D0692B">
        <w:rPr>
          <w:rFonts w:ascii="Arial" w:hAnsi="Arial" w:cs="Arial"/>
          <w:iCs/>
        </w:rPr>
        <w:lastRenderedPageBreak/>
        <w:t>Clinician-level performance scores – 2021</w:t>
      </w:r>
    </w:p>
    <w:p w14:paraId="1A67D3E6" w14:textId="77777777" w:rsidR="00D0692B" w:rsidRPr="00D0692B" w:rsidRDefault="00D0692B" w:rsidP="00D0692B">
      <w:pPr>
        <w:pStyle w:val="ListParagraph"/>
        <w:ind w:left="1890"/>
        <w:rPr>
          <w:rFonts w:ascii="Arial" w:hAnsi="Arial" w:cs="Arial"/>
          <w:iCs/>
        </w:rPr>
      </w:pPr>
      <w:r w:rsidRPr="00D0692B">
        <w:rPr>
          <w:rFonts w:ascii="Arial" w:hAnsi="Arial" w:cs="Arial"/>
          <w:iCs/>
        </w:rPr>
        <w:t>Sample size: 13</w:t>
      </w:r>
    </w:p>
    <w:p w14:paraId="1C38DFE5" w14:textId="77777777" w:rsidR="00D0692B" w:rsidRPr="00D0692B" w:rsidRDefault="00D0692B" w:rsidP="00D0692B">
      <w:pPr>
        <w:pStyle w:val="ListParagraph"/>
        <w:ind w:left="1890"/>
        <w:rPr>
          <w:rFonts w:ascii="Arial" w:hAnsi="Arial" w:cs="Arial"/>
          <w:iCs/>
        </w:rPr>
      </w:pPr>
      <w:r w:rsidRPr="00D0692B">
        <w:rPr>
          <w:rFonts w:ascii="Arial" w:hAnsi="Arial" w:cs="Arial"/>
          <w:iCs/>
        </w:rPr>
        <w:t>Mean: 48%</w:t>
      </w:r>
    </w:p>
    <w:p w14:paraId="4CF216A7" w14:textId="77777777" w:rsidR="00D0692B" w:rsidRPr="00D0692B" w:rsidRDefault="00D0692B" w:rsidP="00D0692B">
      <w:pPr>
        <w:pStyle w:val="ListParagraph"/>
        <w:ind w:left="1890"/>
        <w:rPr>
          <w:rFonts w:ascii="Arial" w:hAnsi="Arial" w:cs="Arial"/>
          <w:iCs/>
        </w:rPr>
      </w:pPr>
      <w:r w:rsidRPr="00D0692B">
        <w:rPr>
          <w:rFonts w:ascii="Arial" w:hAnsi="Arial" w:cs="Arial"/>
          <w:iCs/>
        </w:rPr>
        <w:t>SD: 22%</w:t>
      </w:r>
    </w:p>
    <w:p w14:paraId="7E5BE2ED" w14:textId="77777777" w:rsidR="00D0692B" w:rsidRPr="00D0692B" w:rsidRDefault="00D0692B" w:rsidP="00D0692B">
      <w:pPr>
        <w:pStyle w:val="ListParagraph"/>
        <w:ind w:left="1890"/>
        <w:rPr>
          <w:rFonts w:ascii="Arial" w:hAnsi="Arial" w:cs="Arial"/>
          <w:iCs/>
        </w:rPr>
      </w:pPr>
      <w:r w:rsidRPr="00D0692B">
        <w:rPr>
          <w:rFonts w:ascii="Arial" w:hAnsi="Arial" w:cs="Arial"/>
          <w:iCs/>
        </w:rPr>
        <w:t>Min: 20%</w:t>
      </w:r>
    </w:p>
    <w:p w14:paraId="261D8B45" w14:textId="77777777" w:rsidR="00D0692B" w:rsidRPr="00D0692B" w:rsidRDefault="00D0692B" w:rsidP="00D0692B">
      <w:pPr>
        <w:pStyle w:val="ListParagraph"/>
        <w:ind w:left="1890"/>
        <w:rPr>
          <w:rFonts w:ascii="Arial" w:hAnsi="Arial" w:cs="Arial"/>
          <w:iCs/>
        </w:rPr>
      </w:pPr>
      <w:r w:rsidRPr="00D0692B">
        <w:rPr>
          <w:rFonts w:ascii="Arial" w:hAnsi="Arial" w:cs="Arial"/>
          <w:iCs/>
        </w:rPr>
        <w:t>Max:88%</w:t>
      </w:r>
    </w:p>
    <w:p w14:paraId="5674A291" w14:textId="77777777" w:rsidR="00D0692B" w:rsidRPr="00D0692B" w:rsidRDefault="00D0692B" w:rsidP="00D0692B">
      <w:pPr>
        <w:pStyle w:val="ListParagraph"/>
        <w:ind w:left="1890"/>
        <w:rPr>
          <w:rFonts w:ascii="Arial" w:hAnsi="Arial" w:cs="Arial"/>
          <w:iCs/>
        </w:rPr>
      </w:pPr>
      <w:r w:rsidRPr="00D0692B">
        <w:rPr>
          <w:rFonts w:ascii="Arial" w:hAnsi="Arial" w:cs="Arial"/>
          <w:iCs/>
        </w:rPr>
        <w:t>10th percentile: 21%</w:t>
      </w:r>
    </w:p>
    <w:p w14:paraId="538D7FF9" w14:textId="77777777" w:rsidR="00D0692B" w:rsidRPr="00D0692B" w:rsidRDefault="00D0692B" w:rsidP="00D0692B">
      <w:pPr>
        <w:pStyle w:val="ListParagraph"/>
        <w:ind w:left="1890"/>
        <w:rPr>
          <w:rFonts w:ascii="Arial" w:hAnsi="Arial" w:cs="Arial"/>
          <w:iCs/>
        </w:rPr>
      </w:pPr>
      <w:r w:rsidRPr="00D0692B">
        <w:rPr>
          <w:rFonts w:ascii="Arial" w:hAnsi="Arial" w:cs="Arial"/>
          <w:iCs/>
        </w:rPr>
        <w:t>50th percentile: 47%</w:t>
      </w:r>
    </w:p>
    <w:p w14:paraId="489BF2D0" w14:textId="7673517D" w:rsidR="00D0692B" w:rsidRDefault="00D0692B" w:rsidP="00D0692B">
      <w:pPr>
        <w:pStyle w:val="ListParagraph"/>
        <w:ind w:left="1890"/>
        <w:rPr>
          <w:rFonts w:ascii="Arial" w:hAnsi="Arial" w:cs="Arial"/>
          <w:iCs/>
        </w:rPr>
      </w:pPr>
      <w:r w:rsidRPr="00D0692B">
        <w:rPr>
          <w:rFonts w:ascii="Arial" w:hAnsi="Arial" w:cs="Arial"/>
          <w:iCs/>
        </w:rPr>
        <w:t>90th percentile: 76%</w:t>
      </w:r>
    </w:p>
    <w:p w14:paraId="3D888393" w14:textId="77777777" w:rsidR="00D0692B" w:rsidRDefault="00D0692B" w:rsidP="00D0692B">
      <w:pPr>
        <w:pStyle w:val="ListParagraph"/>
        <w:ind w:left="1890"/>
        <w:rPr>
          <w:rFonts w:ascii="Arial" w:hAnsi="Arial" w:cs="Arial"/>
          <w:iCs/>
        </w:rPr>
      </w:pPr>
    </w:p>
    <w:p w14:paraId="4DC161C3" w14:textId="3187FA59" w:rsidR="0052066B" w:rsidRPr="0052066B" w:rsidRDefault="0052066B" w:rsidP="0052066B">
      <w:pPr>
        <w:pStyle w:val="ListParagraph"/>
        <w:ind w:left="1890"/>
        <w:rPr>
          <w:rFonts w:ascii="Arial" w:hAnsi="Arial" w:cs="Arial"/>
          <w:iCs/>
        </w:rPr>
      </w:pPr>
      <w:r w:rsidRPr="0052066B">
        <w:rPr>
          <w:rFonts w:ascii="Arial" w:hAnsi="Arial" w:cs="Arial"/>
          <w:iCs/>
        </w:rPr>
        <w:t>Reliability</w:t>
      </w:r>
    </w:p>
    <w:p w14:paraId="0ED060D7" w14:textId="77777777" w:rsidR="0052066B" w:rsidRPr="0052066B" w:rsidRDefault="0052066B" w:rsidP="0052066B">
      <w:pPr>
        <w:pStyle w:val="ListParagraph"/>
        <w:ind w:left="1890"/>
        <w:rPr>
          <w:rFonts w:ascii="Arial" w:hAnsi="Arial" w:cs="Arial"/>
          <w:iCs/>
        </w:rPr>
      </w:pPr>
      <w:r w:rsidRPr="0052066B">
        <w:rPr>
          <w:rFonts w:ascii="Arial" w:hAnsi="Arial" w:cs="Arial"/>
          <w:iCs/>
        </w:rPr>
        <w:t>Moderate reliability – 0.4 – 0.7</w:t>
      </w:r>
    </w:p>
    <w:p w14:paraId="1A30734E" w14:textId="6B1FDA44" w:rsidR="0052066B" w:rsidRDefault="0052066B" w:rsidP="0052066B">
      <w:pPr>
        <w:pStyle w:val="ListParagraph"/>
        <w:ind w:left="1890"/>
        <w:rPr>
          <w:rFonts w:ascii="Arial" w:hAnsi="Arial" w:cs="Arial"/>
          <w:iCs/>
        </w:rPr>
      </w:pPr>
      <w:r w:rsidRPr="0052066B">
        <w:rPr>
          <w:rFonts w:ascii="Arial" w:hAnsi="Arial" w:cs="Arial"/>
          <w:iCs/>
        </w:rPr>
        <w:t>High reliability - &gt;0.7</w:t>
      </w:r>
    </w:p>
    <w:p w14:paraId="36E8B955" w14:textId="77777777" w:rsidR="0052066B" w:rsidRPr="0052066B" w:rsidRDefault="0052066B" w:rsidP="0052066B">
      <w:pPr>
        <w:pStyle w:val="ListParagraph"/>
        <w:ind w:left="1890"/>
        <w:rPr>
          <w:rFonts w:ascii="Arial" w:hAnsi="Arial" w:cs="Arial"/>
          <w:iCs/>
        </w:rPr>
      </w:pPr>
      <w:r w:rsidRPr="0052066B">
        <w:rPr>
          <w:rFonts w:ascii="Arial" w:hAnsi="Arial" w:cs="Arial"/>
          <w:iCs/>
        </w:rPr>
        <w:t>Intraclass correlation (random split-half) clinician-Level – 2021</w:t>
      </w:r>
    </w:p>
    <w:p w14:paraId="191AB8D7" w14:textId="77777777" w:rsidR="0052066B" w:rsidRPr="0052066B" w:rsidRDefault="0052066B" w:rsidP="0052066B">
      <w:pPr>
        <w:pStyle w:val="ListParagraph"/>
        <w:ind w:left="1890"/>
        <w:rPr>
          <w:rFonts w:ascii="Arial" w:hAnsi="Arial" w:cs="Arial"/>
          <w:iCs/>
        </w:rPr>
      </w:pPr>
      <w:r w:rsidRPr="0052066B">
        <w:rPr>
          <w:rFonts w:ascii="Arial" w:hAnsi="Arial" w:cs="Arial"/>
          <w:iCs/>
        </w:rPr>
        <w:t>Clinician sample size: 13</w:t>
      </w:r>
    </w:p>
    <w:p w14:paraId="3131C41B" w14:textId="77777777" w:rsidR="0052066B" w:rsidRPr="0052066B" w:rsidRDefault="0052066B" w:rsidP="0052066B">
      <w:pPr>
        <w:pStyle w:val="ListParagraph"/>
        <w:ind w:left="1890"/>
        <w:rPr>
          <w:rFonts w:ascii="Arial" w:hAnsi="Arial" w:cs="Arial"/>
          <w:iCs/>
        </w:rPr>
      </w:pPr>
      <w:proofErr w:type="gramStart"/>
      <w:r w:rsidRPr="0052066B">
        <w:rPr>
          <w:rFonts w:ascii="Arial" w:hAnsi="Arial" w:cs="Arial"/>
          <w:iCs/>
        </w:rPr>
        <w:t>Clinician</w:t>
      </w:r>
      <w:proofErr w:type="gramEnd"/>
      <w:r w:rsidRPr="0052066B">
        <w:rPr>
          <w:rFonts w:ascii="Arial" w:hAnsi="Arial" w:cs="Arial"/>
          <w:iCs/>
        </w:rPr>
        <w:t xml:space="preserve"> mean: 0.81</w:t>
      </w:r>
    </w:p>
    <w:p w14:paraId="5D3D1BE5" w14:textId="77777777" w:rsidR="0052066B" w:rsidRPr="0052066B" w:rsidRDefault="0052066B" w:rsidP="0052066B">
      <w:pPr>
        <w:pStyle w:val="ListParagraph"/>
        <w:ind w:left="1890"/>
        <w:rPr>
          <w:rFonts w:ascii="Arial" w:hAnsi="Arial" w:cs="Arial"/>
          <w:iCs/>
        </w:rPr>
      </w:pPr>
      <w:r w:rsidRPr="0052066B">
        <w:rPr>
          <w:rFonts w:ascii="Arial" w:hAnsi="Arial" w:cs="Arial"/>
          <w:iCs/>
        </w:rPr>
        <w:t>Interpretation: There is high reliability at the clinician level for 2021 with mean correlation greater than 0.7.</w:t>
      </w:r>
    </w:p>
    <w:p w14:paraId="0C64031A" w14:textId="77777777" w:rsidR="0052066B" w:rsidRPr="0052066B" w:rsidRDefault="0052066B" w:rsidP="0052066B">
      <w:pPr>
        <w:pStyle w:val="ListParagraph"/>
        <w:ind w:left="1890"/>
        <w:rPr>
          <w:rFonts w:ascii="Arial" w:hAnsi="Arial" w:cs="Arial"/>
          <w:iCs/>
        </w:rPr>
      </w:pPr>
    </w:p>
    <w:p w14:paraId="73D7A6ED" w14:textId="77777777" w:rsidR="0052066B" w:rsidRPr="0052066B" w:rsidRDefault="0052066B" w:rsidP="0052066B">
      <w:pPr>
        <w:pStyle w:val="ListParagraph"/>
        <w:ind w:left="1890"/>
        <w:rPr>
          <w:rFonts w:ascii="Arial" w:hAnsi="Arial" w:cs="Arial"/>
          <w:iCs/>
        </w:rPr>
      </w:pPr>
      <w:r w:rsidRPr="0052066B">
        <w:rPr>
          <w:rFonts w:ascii="Arial" w:hAnsi="Arial" w:cs="Arial"/>
          <w:iCs/>
        </w:rPr>
        <w:t>Intraclass correlation (random split-half) clinician group-level – 2021 and 2022</w:t>
      </w:r>
    </w:p>
    <w:p w14:paraId="332BD1ED" w14:textId="77777777" w:rsidR="0052066B" w:rsidRPr="0052066B" w:rsidRDefault="0052066B" w:rsidP="0052066B">
      <w:pPr>
        <w:pStyle w:val="ListParagraph"/>
        <w:ind w:left="1890"/>
        <w:rPr>
          <w:rFonts w:ascii="Arial" w:hAnsi="Arial" w:cs="Arial"/>
          <w:iCs/>
        </w:rPr>
      </w:pPr>
      <w:r w:rsidRPr="0052066B">
        <w:rPr>
          <w:rFonts w:ascii="Arial" w:hAnsi="Arial" w:cs="Arial"/>
          <w:iCs/>
        </w:rPr>
        <w:t xml:space="preserve">2021 </w:t>
      </w:r>
    </w:p>
    <w:p w14:paraId="33214671" w14:textId="77777777" w:rsidR="0052066B" w:rsidRPr="0052066B" w:rsidRDefault="0052066B" w:rsidP="0052066B">
      <w:pPr>
        <w:pStyle w:val="ListParagraph"/>
        <w:ind w:left="1890"/>
        <w:rPr>
          <w:rFonts w:ascii="Arial" w:hAnsi="Arial" w:cs="Arial"/>
          <w:iCs/>
        </w:rPr>
      </w:pPr>
      <w:r w:rsidRPr="0052066B">
        <w:rPr>
          <w:rFonts w:ascii="Arial" w:hAnsi="Arial" w:cs="Arial"/>
          <w:iCs/>
        </w:rPr>
        <w:t>Clinician Group sample size: 3</w:t>
      </w:r>
    </w:p>
    <w:p w14:paraId="1E98329F" w14:textId="77777777" w:rsidR="0052066B" w:rsidRPr="0052066B" w:rsidRDefault="0052066B" w:rsidP="0052066B">
      <w:pPr>
        <w:pStyle w:val="ListParagraph"/>
        <w:ind w:left="1890"/>
        <w:rPr>
          <w:rFonts w:ascii="Arial" w:hAnsi="Arial" w:cs="Arial"/>
          <w:iCs/>
        </w:rPr>
      </w:pPr>
      <w:r w:rsidRPr="0052066B">
        <w:rPr>
          <w:rFonts w:ascii="Arial" w:hAnsi="Arial" w:cs="Arial"/>
          <w:iCs/>
        </w:rPr>
        <w:t>Clinician Group mean: 0.88</w:t>
      </w:r>
    </w:p>
    <w:p w14:paraId="4FDAC1DF" w14:textId="77777777" w:rsidR="0052066B" w:rsidRPr="0052066B" w:rsidRDefault="0052066B" w:rsidP="0052066B">
      <w:pPr>
        <w:pStyle w:val="ListParagraph"/>
        <w:ind w:left="1890"/>
        <w:rPr>
          <w:rFonts w:ascii="Arial" w:hAnsi="Arial" w:cs="Arial"/>
          <w:iCs/>
        </w:rPr>
      </w:pPr>
      <w:r w:rsidRPr="0052066B">
        <w:rPr>
          <w:rFonts w:ascii="Arial" w:hAnsi="Arial" w:cs="Arial"/>
          <w:iCs/>
        </w:rPr>
        <w:t>Interpretation: There is high reliability at the clinician group-level for 2021 with mean correlation greater than 0.7.</w:t>
      </w:r>
    </w:p>
    <w:p w14:paraId="164C6620" w14:textId="77777777" w:rsidR="0052066B" w:rsidRPr="0052066B" w:rsidRDefault="0052066B" w:rsidP="0052066B">
      <w:pPr>
        <w:pStyle w:val="ListParagraph"/>
        <w:ind w:left="1890"/>
        <w:rPr>
          <w:rFonts w:ascii="Arial" w:hAnsi="Arial" w:cs="Arial"/>
          <w:iCs/>
        </w:rPr>
      </w:pPr>
    </w:p>
    <w:p w14:paraId="0BF69280" w14:textId="77777777" w:rsidR="0052066B" w:rsidRPr="0052066B" w:rsidRDefault="0052066B" w:rsidP="0052066B">
      <w:pPr>
        <w:pStyle w:val="ListParagraph"/>
        <w:ind w:left="1890"/>
        <w:rPr>
          <w:rFonts w:ascii="Arial" w:hAnsi="Arial" w:cs="Arial"/>
          <w:iCs/>
        </w:rPr>
      </w:pPr>
      <w:r w:rsidRPr="0052066B">
        <w:rPr>
          <w:rFonts w:ascii="Arial" w:hAnsi="Arial" w:cs="Arial"/>
          <w:iCs/>
        </w:rPr>
        <w:t>2022</w:t>
      </w:r>
    </w:p>
    <w:p w14:paraId="0D5EE6CF" w14:textId="77777777" w:rsidR="0052066B" w:rsidRPr="0052066B" w:rsidRDefault="0052066B" w:rsidP="0052066B">
      <w:pPr>
        <w:pStyle w:val="ListParagraph"/>
        <w:ind w:left="1890"/>
        <w:rPr>
          <w:rFonts w:ascii="Arial" w:hAnsi="Arial" w:cs="Arial"/>
          <w:iCs/>
        </w:rPr>
      </w:pPr>
      <w:r w:rsidRPr="0052066B">
        <w:rPr>
          <w:rFonts w:ascii="Arial" w:hAnsi="Arial" w:cs="Arial"/>
          <w:iCs/>
        </w:rPr>
        <w:t>Clinician Group sample size: 4</w:t>
      </w:r>
    </w:p>
    <w:p w14:paraId="0CC9506B" w14:textId="77777777" w:rsidR="0052066B" w:rsidRPr="0052066B" w:rsidRDefault="0052066B" w:rsidP="0052066B">
      <w:pPr>
        <w:pStyle w:val="ListParagraph"/>
        <w:ind w:left="1890"/>
        <w:rPr>
          <w:rFonts w:ascii="Arial" w:hAnsi="Arial" w:cs="Arial"/>
          <w:iCs/>
        </w:rPr>
      </w:pPr>
      <w:r w:rsidRPr="0052066B">
        <w:rPr>
          <w:rFonts w:ascii="Arial" w:hAnsi="Arial" w:cs="Arial"/>
          <w:iCs/>
        </w:rPr>
        <w:t>Clinician Group mean: 0.55</w:t>
      </w:r>
    </w:p>
    <w:p w14:paraId="262C7895" w14:textId="221EDBB6" w:rsidR="0052066B" w:rsidRPr="003811D9" w:rsidRDefault="0052066B" w:rsidP="0052066B">
      <w:pPr>
        <w:pStyle w:val="ListParagraph"/>
        <w:ind w:left="1890"/>
        <w:rPr>
          <w:rFonts w:ascii="Arial" w:hAnsi="Arial" w:cs="Arial"/>
          <w:iCs/>
        </w:rPr>
      </w:pPr>
      <w:r w:rsidRPr="0052066B">
        <w:rPr>
          <w:rFonts w:ascii="Arial" w:hAnsi="Arial" w:cs="Arial"/>
          <w:iCs/>
        </w:rPr>
        <w:t>Interpretation: There is moderate reliability at the clinician group-level for 2022 with mean correlation between 0.4 and 0.7.</w:t>
      </w:r>
    </w:p>
    <w:p w14:paraId="02CB21DC" w14:textId="2EC653A9" w:rsidR="0052066B" w:rsidRDefault="00BC7A62" w:rsidP="00D0692B">
      <w:pPr>
        <w:pStyle w:val="ListParagraph"/>
        <w:numPr>
          <w:ilvl w:val="1"/>
          <w:numId w:val="6"/>
        </w:numPr>
        <w:ind w:left="1890"/>
        <w:rPr>
          <w:rFonts w:ascii="Arial" w:hAnsi="Arial" w:cs="Arial"/>
          <w:iCs/>
        </w:rPr>
      </w:pPr>
      <w:r>
        <w:rPr>
          <w:rFonts w:ascii="Arial" w:hAnsi="Arial" w:cs="Arial"/>
          <w:iCs/>
        </w:rPr>
        <w:t xml:space="preserve">Face </w:t>
      </w:r>
      <w:r w:rsidR="00ED5E4C" w:rsidRPr="003811D9">
        <w:rPr>
          <w:rFonts w:ascii="Arial" w:hAnsi="Arial" w:cs="Arial"/>
          <w:iCs/>
        </w:rPr>
        <w:t xml:space="preserve">Validity Testing Results, </w:t>
      </w:r>
      <w:r w:rsidR="00144B72">
        <w:rPr>
          <w:rFonts w:ascii="Arial" w:hAnsi="Arial" w:cs="Arial"/>
          <w:iCs/>
        </w:rPr>
        <w:t>C</w:t>
      </w:r>
      <w:r w:rsidR="00ED5E4C" w:rsidRPr="003811D9">
        <w:rPr>
          <w:rFonts w:ascii="Arial" w:hAnsi="Arial" w:cs="Arial"/>
          <w:iCs/>
        </w:rPr>
        <w:t xml:space="preserve">linician </w:t>
      </w:r>
      <w:r w:rsidR="00144B72">
        <w:rPr>
          <w:rFonts w:ascii="Arial" w:hAnsi="Arial" w:cs="Arial"/>
          <w:iCs/>
        </w:rPr>
        <w:t>S</w:t>
      </w:r>
      <w:r w:rsidR="00ED5E4C" w:rsidRPr="003811D9">
        <w:rPr>
          <w:rFonts w:ascii="Arial" w:hAnsi="Arial" w:cs="Arial"/>
          <w:iCs/>
        </w:rPr>
        <w:t>ite</w:t>
      </w:r>
      <w:r w:rsidR="003C0773">
        <w:rPr>
          <w:rFonts w:ascii="Arial" w:hAnsi="Arial" w:cs="Arial"/>
          <w:iCs/>
        </w:rPr>
        <w:t>s</w:t>
      </w:r>
    </w:p>
    <w:p w14:paraId="5A1DA67C" w14:textId="5B22033C" w:rsidR="00D0692B" w:rsidRPr="00D0692B" w:rsidRDefault="00D0692B" w:rsidP="00D0692B">
      <w:pPr>
        <w:pStyle w:val="ListParagraph"/>
        <w:ind w:left="1890"/>
        <w:rPr>
          <w:rFonts w:ascii="Arial" w:hAnsi="Arial" w:cs="Arial"/>
          <w:iCs/>
        </w:rPr>
      </w:pPr>
      <w:r w:rsidRPr="00D0692B">
        <w:rPr>
          <w:rFonts w:ascii="Arial" w:hAnsi="Arial" w:cs="Arial"/>
          <w:iCs/>
        </w:rPr>
        <w:t>All clinicians/experts</w:t>
      </w:r>
      <w:r>
        <w:rPr>
          <w:rFonts w:ascii="Arial" w:hAnsi="Arial" w:cs="Arial"/>
          <w:iCs/>
        </w:rPr>
        <w:t xml:space="preserve"> (7)</w:t>
      </w:r>
      <w:r w:rsidRPr="00D0692B">
        <w:rPr>
          <w:rFonts w:ascii="Arial" w:hAnsi="Arial" w:cs="Arial"/>
          <w:iCs/>
        </w:rPr>
        <w:t xml:space="preserve"> agreed that </w:t>
      </w:r>
      <w:proofErr w:type="gramStart"/>
      <w:r w:rsidRPr="00D0692B">
        <w:rPr>
          <w:rFonts w:ascii="Arial" w:hAnsi="Arial" w:cs="Arial"/>
          <w:iCs/>
        </w:rPr>
        <w:t>measures</w:t>
      </w:r>
      <w:proofErr w:type="gramEnd"/>
      <w:r w:rsidRPr="00D0692B">
        <w:rPr>
          <w:rFonts w:ascii="Arial" w:hAnsi="Arial" w:cs="Arial"/>
          <w:iCs/>
        </w:rPr>
        <w:t xml:space="preserve"> scores would distinguish between good and poor care and identify care quality gaps.</w:t>
      </w:r>
    </w:p>
    <w:p w14:paraId="0F56220D" w14:textId="71E1B417" w:rsidR="00665ABA" w:rsidRDefault="00665ABA" w:rsidP="211D164F">
      <w:pPr>
        <w:pStyle w:val="ListParagraph"/>
        <w:numPr>
          <w:ilvl w:val="1"/>
          <w:numId w:val="6"/>
        </w:numPr>
        <w:ind w:left="1890"/>
        <w:rPr>
          <w:rFonts w:ascii="Arial" w:hAnsi="Arial" w:cs="Arial"/>
        </w:rPr>
      </w:pPr>
      <w:r w:rsidRPr="211D164F">
        <w:rPr>
          <w:rFonts w:ascii="Arial" w:hAnsi="Arial" w:cs="Arial"/>
        </w:rPr>
        <w:t xml:space="preserve">Empiric Validity </w:t>
      </w:r>
      <w:r w:rsidR="0016710D" w:rsidRPr="211D164F">
        <w:rPr>
          <w:rFonts w:ascii="Arial" w:hAnsi="Arial" w:cs="Arial"/>
        </w:rPr>
        <w:t>Testing Results at the accountable entity level</w:t>
      </w:r>
      <w:r w:rsidRPr="211D164F">
        <w:rPr>
          <w:rFonts w:ascii="Arial" w:hAnsi="Arial" w:cs="Arial"/>
        </w:rPr>
        <w:t xml:space="preserve"> </w:t>
      </w:r>
    </w:p>
    <w:p w14:paraId="4476F33A" w14:textId="77777777" w:rsidR="00D0692B" w:rsidRDefault="00D0692B" w:rsidP="00D0692B">
      <w:pPr>
        <w:pStyle w:val="Heading2"/>
        <w:rPr>
          <w:rFonts w:eastAsia="Times New Roman"/>
        </w:rPr>
      </w:pPr>
      <w:r>
        <w:rPr>
          <w:rFonts w:eastAsia="Times New Roman"/>
        </w:rPr>
        <w:t>Validity</w:t>
      </w:r>
    </w:p>
    <w:p w14:paraId="225DC147" w14:textId="77777777" w:rsidR="00D0692B" w:rsidRDefault="00D0692B" w:rsidP="00D0692B">
      <w:r>
        <w:t>2021 Clinician-level hypothesis-based validity results</w:t>
      </w:r>
    </w:p>
    <w:tbl>
      <w:tblPr>
        <w:tblStyle w:val="TableGrid"/>
        <w:tblW w:w="8924" w:type="dxa"/>
        <w:tblInd w:w="161" w:type="dxa"/>
        <w:tblLayout w:type="fixed"/>
        <w:tblLook w:val="04A0" w:firstRow="1" w:lastRow="0" w:firstColumn="1" w:lastColumn="0" w:noHBand="0" w:noVBand="1"/>
      </w:tblPr>
      <w:tblGrid>
        <w:gridCol w:w="3164"/>
        <w:gridCol w:w="1530"/>
        <w:gridCol w:w="1170"/>
        <w:gridCol w:w="720"/>
        <w:gridCol w:w="810"/>
        <w:gridCol w:w="810"/>
        <w:gridCol w:w="720"/>
      </w:tblGrid>
      <w:tr w:rsidR="00D0692B" w:rsidRPr="00A30441" w14:paraId="377C5F33" w14:textId="77777777" w:rsidTr="00EA147F">
        <w:tc>
          <w:tcPr>
            <w:tcW w:w="3164" w:type="dxa"/>
            <w:shd w:val="clear" w:color="auto" w:fill="D9D9D9" w:themeFill="background1" w:themeFillShade="D9"/>
          </w:tcPr>
          <w:p w14:paraId="01CC8608"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bookmarkStart w:id="1" w:name="_Hlk163576433"/>
            <w:r w:rsidRPr="00AD39EE">
              <w:rPr>
                <w:rFonts w:asciiTheme="minorHAnsi" w:eastAsia="Times New Roman" w:hAnsiTheme="minorHAnsi" w:cstheme="minorHAnsi"/>
                <w:b/>
                <w:bCs/>
                <w:color w:val="1F4E79" w:themeColor="accent5" w:themeShade="80"/>
                <w:sz w:val="18"/>
                <w:szCs w:val="18"/>
              </w:rPr>
              <w:t>Group</w:t>
            </w:r>
          </w:p>
        </w:tc>
        <w:tc>
          <w:tcPr>
            <w:tcW w:w="1530" w:type="dxa"/>
            <w:shd w:val="clear" w:color="auto" w:fill="D9D9D9" w:themeFill="background1" w:themeFillShade="D9"/>
          </w:tcPr>
          <w:p w14:paraId="1E3E8E17"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Denominator count</w:t>
            </w:r>
          </w:p>
        </w:tc>
        <w:tc>
          <w:tcPr>
            <w:tcW w:w="1170" w:type="dxa"/>
            <w:shd w:val="clear" w:color="auto" w:fill="D9D9D9" w:themeFill="background1" w:themeFillShade="D9"/>
          </w:tcPr>
          <w:p w14:paraId="60DDD023"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Numerator count</w:t>
            </w:r>
          </w:p>
        </w:tc>
        <w:tc>
          <w:tcPr>
            <w:tcW w:w="720" w:type="dxa"/>
            <w:shd w:val="clear" w:color="auto" w:fill="D9D9D9" w:themeFill="background1" w:themeFillShade="D9"/>
          </w:tcPr>
          <w:p w14:paraId="3886C002"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Mean</w:t>
            </w:r>
          </w:p>
        </w:tc>
        <w:tc>
          <w:tcPr>
            <w:tcW w:w="810" w:type="dxa"/>
            <w:shd w:val="clear" w:color="auto" w:fill="D9D9D9" w:themeFill="background1" w:themeFillShade="D9"/>
          </w:tcPr>
          <w:p w14:paraId="2480D8C8"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Min</w:t>
            </w:r>
          </w:p>
        </w:tc>
        <w:tc>
          <w:tcPr>
            <w:tcW w:w="810" w:type="dxa"/>
            <w:shd w:val="clear" w:color="auto" w:fill="D9D9D9" w:themeFill="background1" w:themeFillShade="D9"/>
          </w:tcPr>
          <w:p w14:paraId="7E093224"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Max</w:t>
            </w:r>
          </w:p>
        </w:tc>
        <w:tc>
          <w:tcPr>
            <w:tcW w:w="720" w:type="dxa"/>
            <w:shd w:val="clear" w:color="auto" w:fill="D9D9D9" w:themeFill="background1" w:themeFillShade="D9"/>
          </w:tcPr>
          <w:p w14:paraId="41D585D7"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Cohen</w:t>
            </w:r>
          </w:p>
        </w:tc>
      </w:tr>
      <w:tr w:rsidR="00D0692B" w:rsidRPr="00A30441" w14:paraId="38BE4CBB" w14:textId="77777777" w:rsidTr="00EA147F">
        <w:tc>
          <w:tcPr>
            <w:tcW w:w="3164" w:type="dxa"/>
          </w:tcPr>
          <w:p w14:paraId="395CF60E"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Sex: Male</w:t>
            </w:r>
          </w:p>
        </w:tc>
        <w:tc>
          <w:tcPr>
            <w:tcW w:w="1530" w:type="dxa"/>
          </w:tcPr>
          <w:p w14:paraId="3E583859"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204</w:t>
            </w:r>
          </w:p>
        </w:tc>
        <w:tc>
          <w:tcPr>
            <w:tcW w:w="1170" w:type="dxa"/>
          </w:tcPr>
          <w:p w14:paraId="59769030"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119</w:t>
            </w:r>
          </w:p>
        </w:tc>
        <w:tc>
          <w:tcPr>
            <w:tcW w:w="720" w:type="dxa"/>
          </w:tcPr>
          <w:p w14:paraId="348663D2"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0.55</w:t>
            </w:r>
          </w:p>
        </w:tc>
        <w:tc>
          <w:tcPr>
            <w:tcW w:w="810" w:type="dxa"/>
          </w:tcPr>
          <w:p w14:paraId="22B035B9"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0.22</w:t>
            </w:r>
          </w:p>
        </w:tc>
        <w:tc>
          <w:tcPr>
            <w:tcW w:w="810" w:type="dxa"/>
          </w:tcPr>
          <w:p w14:paraId="5D09CA27"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0.90</w:t>
            </w:r>
          </w:p>
        </w:tc>
        <w:tc>
          <w:tcPr>
            <w:tcW w:w="720" w:type="dxa"/>
          </w:tcPr>
          <w:p w14:paraId="5B9D331A"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0.72</w:t>
            </w:r>
          </w:p>
        </w:tc>
      </w:tr>
      <w:tr w:rsidR="00D0692B" w:rsidRPr="00A30441" w14:paraId="68B8420A" w14:textId="77777777" w:rsidTr="00EA147F">
        <w:tc>
          <w:tcPr>
            <w:tcW w:w="3164" w:type="dxa"/>
          </w:tcPr>
          <w:p w14:paraId="77926511"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Sex: Female</w:t>
            </w:r>
          </w:p>
        </w:tc>
        <w:tc>
          <w:tcPr>
            <w:tcW w:w="1530" w:type="dxa"/>
          </w:tcPr>
          <w:p w14:paraId="463C33CA"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121</w:t>
            </w:r>
          </w:p>
        </w:tc>
        <w:tc>
          <w:tcPr>
            <w:tcW w:w="1170" w:type="dxa"/>
          </w:tcPr>
          <w:p w14:paraId="0E9B948B"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51</w:t>
            </w:r>
          </w:p>
        </w:tc>
        <w:tc>
          <w:tcPr>
            <w:tcW w:w="720" w:type="dxa"/>
          </w:tcPr>
          <w:p w14:paraId="019E48E7"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0.40</w:t>
            </w:r>
          </w:p>
        </w:tc>
        <w:tc>
          <w:tcPr>
            <w:tcW w:w="810" w:type="dxa"/>
          </w:tcPr>
          <w:p w14:paraId="305F866F"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0.14</w:t>
            </w:r>
          </w:p>
        </w:tc>
        <w:tc>
          <w:tcPr>
            <w:tcW w:w="810" w:type="dxa"/>
          </w:tcPr>
          <w:p w14:paraId="5BB512DC"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0.86</w:t>
            </w:r>
          </w:p>
        </w:tc>
        <w:tc>
          <w:tcPr>
            <w:tcW w:w="720" w:type="dxa"/>
          </w:tcPr>
          <w:p w14:paraId="4CA172A7"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0.72</w:t>
            </w:r>
          </w:p>
        </w:tc>
      </w:tr>
      <w:tr w:rsidR="00D0692B" w:rsidRPr="00A30441" w14:paraId="2CFFE107" w14:textId="77777777" w:rsidTr="00EA147F">
        <w:tc>
          <w:tcPr>
            <w:tcW w:w="3164" w:type="dxa"/>
            <w:shd w:val="clear" w:color="auto" w:fill="D9D9D9" w:themeFill="background1" w:themeFillShade="D9"/>
          </w:tcPr>
          <w:p w14:paraId="7FCA5D82"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Insurance status: Insured</w:t>
            </w:r>
          </w:p>
        </w:tc>
        <w:tc>
          <w:tcPr>
            <w:tcW w:w="1530" w:type="dxa"/>
            <w:shd w:val="clear" w:color="auto" w:fill="D9D9D9" w:themeFill="background1" w:themeFillShade="D9"/>
          </w:tcPr>
          <w:p w14:paraId="1172494D"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315</w:t>
            </w:r>
          </w:p>
        </w:tc>
        <w:tc>
          <w:tcPr>
            <w:tcW w:w="1170" w:type="dxa"/>
            <w:shd w:val="clear" w:color="auto" w:fill="D9D9D9" w:themeFill="background1" w:themeFillShade="D9"/>
          </w:tcPr>
          <w:p w14:paraId="6872D939"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170</w:t>
            </w:r>
          </w:p>
        </w:tc>
        <w:tc>
          <w:tcPr>
            <w:tcW w:w="720" w:type="dxa"/>
            <w:shd w:val="clear" w:color="auto" w:fill="D9D9D9" w:themeFill="background1" w:themeFillShade="D9"/>
          </w:tcPr>
          <w:p w14:paraId="19046023"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0.50</w:t>
            </w:r>
          </w:p>
        </w:tc>
        <w:tc>
          <w:tcPr>
            <w:tcW w:w="810" w:type="dxa"/>
            <w:shd w:val="clear" w:color="auto" w:fill="D9D9D9" w:themeFill="background1" w:themeFillShade="D9"/>
          </w:tcPr>
          <w:p w14:paraId="57E8DEED"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0.21</w:t>
            </w:r>
          </w:p>
        </w:tc>
        <w:tc>
          <w:tcPr>
            <w:tcW w:w="810" w:type="dxa"/>
            <w:shd w:val="clear" w:color="auto" w:fill="D9D9D9" w:themeFill="background1" w:themeFillShade="D9"/>
          </w:tcPr>
          <w:p w14:paraId="1BBD1D7D"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0.88</w:t>
            </w:r>
          </w:p>
        </w:tc>
        <w:tc>
          <w:tcPr>
            <w:tcW w:w="720" w:type="dxa"/>
            <w:shd w:val="clear" w:color="auto" w:fill="D9D9D9" w:themeFill="background1" w:themeFillShade="D9"/>
          </w:tcPr>
          <w:p w14:paraId="412113C2"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3.15</w:t>
            </w:r>
          </w:p>
        </w:tc>
      </w:tr>
      <w:tr w:rsidR="00D0692B" w:rsidRPr="00A30441" w14:paraId="45CC475E" w14:textId="77777777" w:rsidTr="00EA147F">
        <w:tc>
          <w:tcPr>
            <w:tcW w:w="3164" w:type="dxa"/>
            <w:shd w:val="clear" w:color="auto" w:fill="D9D9D9" w:themeFill="background1" w:themeFillShade="D9"/>
          </w:tcPr>
          <w:p w14:paraId="6F68A46E"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Insurance status: Not insured</w:t>
            </w:r>
          </w:p>
        </w:tc>
        <w:tc>
          <w:tcPr>
            <w:tcW w:w="1530" w:type="dxa"/>
            <w:shd w:val="clear" w:color="auto" w:fill="D9D9D9" w:themeFill="background1" w:themeFillShade="D9"/>
          </w:tcPr>
          <w:p w14:paraId="1C78F677"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11</w:t>
            </w:r>
          </w:p>
        </w:tc>
        <w:tc>
          <w:tcPr>
            <w:tcW w:w="1170" w:type="dxa"/>
            <w:shd w:val="clear" w:color="auto" w:fill="D9D9D9" w:themeFill="background1" w:themeFillShade="D9"/>
          </w:tcPr>
          <w:p w14:paraId="6793F949"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w:t>
            </w:r>
          </w:p>
        </w:tc>
        <w:tc>
          <w:tcPr>
            <w:tcW w:w="720" w:type="dxa"/>
            <w:shd w:val="clear" w:color="auto" w:fill="D9D9D9" w:themeFill="background1" w:themeFillShade="D9"/>
          </w:tcPr>
          <w:p w14:paraId="32CF5F5B"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0.00</w:t>
            </w:r>
          </w:p>
        </w:tc>
        <w:tc>
          <w:tcPr>
            <w:tcW w:w="810" w:type="dxa"/>
            <w:shd w:val="clear" w:color="auto" w:fill="D9D9D9" w:themeFill="background1" w:themeFillShade="D9"/>
          </w:tcPr>
          <w:p w14:paraId="5889E6DF"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0.00</w:t>
            </w:r>
          </w:p>
        </w:tc>
        <w:tc>
          <w:tcPr>
            <w:tcW w:w="810" w:type="dxa"/>
            <w:shd w:val="clear" w:color="auto" w:fill="D9D9D9" w:themeFill="background1" w:themeFillShade="D9"/>
          </w:tcPr>
          <w:p w14:paraId="3D6AD76C"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0.00</w:t>
            </w:r>
          </w:p>
        </w:tc>
        <w:tc>
          <w:tcPr>
            <w:tcW w:w="720" w:type="dxa"/>
            <w:shd w:val="clear" w:color="auto" w:fill="D9D9D9" w:themeFill="background1" w:themeFillShade="D9"/>
          </w:tcPr>
          <w:p w14:paraId="46D71EFA"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3.15</w:t>
            </w:r>
          </w:p>
        </w:tc>
      </w:tr>
      <w:tr w:rsidR="00D0692B" w:rsidRPr="00A30441" w14:paraId="5244E9A0" w14:textId="77777777" w:rsidTr="00EA147F">
        <w:tc>
          <w:tcPr>
            <w:tcW w:w="3164" w:type="dxa"/>
            <w:shd w:val="clear" w:color="auto" w:fill="auto"/>
          </w:tcPr>
          <w:p w14:paraId="48DAC63A"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Comorbidities: Yes</w:t>
            </w:r>
          </w:p>
        </w:tc>
        <w:tc>
          <w:tcPr>
            <w:tcW w:w="1530" w:type="dxa"/>
            <w:shd w:val="clear" w:color="auto" w:fill="auto"/>
          </w:tcPr>
          <w:p w14:paraId="0BF37A30"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35</w:t>
            </w:r>
          </w:p>
        </w:tc>
        <w:tc>
          <w:tcPr>
            <w:tcW w:w="1170" w:type="dxa"/>
            <w:shd w:val="clear" w:color="auto" w:fill="auto"/>
          </w:tcPr>
          <w:p w14:paraId="16A3321F"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18</w:t>
            </w:r>
          </w:p>
        </w:tc>
        <w:tc>
          <w:tcPr>
            <w:tcW w:w="720" w:type="dxa"/>
            <w:shd w:val="clear" w:color="auto" w:fill="auto"/>
          </w:tcPr>
          <w:p w14:paraId="0DC688F6"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0.54</w:t>
            </w:r>
          </w:p>
        </w:tc>
        <w:tc>
          <w:tcPr>
            <w:tcW w:w="810" w:type="dxa"/>
            <w:shd w:val="clear" w:color="auto" w:fill="auto"/>
          </w:tcPr>
          <w:p w14:paraId="1480F39A"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0.00</w:t>
            </w:r>
          </w:p>
        </w:tc>
        <w:tc>
          <w:tcPr>
            <w:tcW w:w="810" w:type="dxa"/>
            <w:shd w:val="clear" w:color="auto" w:fill="auto"/>
          </w:tcPr>
          <w:p w14:paraId="320E1132"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1.00</w:t>
            </w:r>
          </w:p>
        </w:tc>
        <w:tc>
          <w:tcPr>
            <w:tcW w:w="720" w:type="dxa"/>
            <w:shd w:val="clear" w:color="auto" w:fill="auto"/>
          </w:tcPr>
          <w:p w14:paraId="60B6721F"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0.22</w:t>
            </w:r>
          </w:p>
        </w:tc>
      </w:tr>
      <w:tr w:rsidR="00D0692B" w:rsidRPr="00A30441" w14:paraId="2AA3965D" w14:textId="77777777" w:rsidTr="00EA147F">
        <w:tc>
          <w:tcPr>
            <w:tcW w:w="3164" w:type="dxa"/>
            <w:shd w:val="clear" w:color="auto" w:fill="auto"/>
          </w:tcPr>
          <w:p w14:paraId="38C37B36"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Comorbidities: No</w:t>
            </w:r>
          </w:p>
        </w:tc>
        <w:tc>
          <w:tcPr>
            <w:tcW w:w="1530" w:type="dxa"/>
            <w:shd w:val="clear" w:color="auto" w:fill="auto"/>
          </w:tcPr>
          <w:p w14:paraId="3E5AA986"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291</w:t>
            </w:r>
          </w:p>
        </w:tc>
        <w:tc>
          <w:tcPr>
            <w:tcW w:w="1170" w:type="dxa"/>
            <w:shd w:val="clear" w:color="auto" w:fill="auto"/>
          </w:tcPr>
          <w:p w14:paraId="37264A87"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152</w:t>
            </w:r>
          </w:p>
        </w:tc>
        <w:tc>
          <w:tcPr>
            <w:tcW w:w="720" w:type="dxa"/>
            <w:shd w:val="clear" w:color="auto" w:fill="auto"/>
          </w:tcPr>
          <w:p w14:paraId="5305F682"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0.48</w:t>
            </w:r>
          </w:p>
        </w:tc>
        <w:tc>
          <w:tcPr>
            <w:tcW w:w="810" w:type="dxa"/>
            <w:shd w:val="clear" w:color="auto" w:fill="auto"/>
          </w:tcPr>
          <w:p w14:paraId="26CEAE6C"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0.18</w:t>
            </w:r>
          </w:p>
        </w:tc>
        <w:tc>
          <w:tcPr>
            <w:tcW w:w="810" w:type="dxa"/>
            <w:shd w:val="clear" w:color="auto" w:fill="auto"/>
          </w:tcPr>
          <w:p w14:paraId="62062CDD"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0.92</w:t>
            </w:r>
          </w:p>
        </w:tc>
        <w:tc>
          <w:tcPr>
            <w:tcW w:w="720" w:type="dxa"/>
            <w:shd w:val="clear" w:color="auto" w:fill="auto"/>
          </w:tcPr>
          <w:p w14:paraId="21F40D01"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0.22</w:t>
            </w:r>
          </w:p>
        </w:tc>
      </w:tr>
      <w:bookmarkEnd w:id="1"/>
    </w:tbl>
    <w:p w14:paraId="1402038C" w14:textId="77777777" w:rsidR="00D0692B" w:rsidRDefault="00D0692B" w:rsidP="00D0692B">
      <w:pPr>
        <w:rPr>
          <w:rFonts w:eastAsia="Times New Roman" w:cs="Arial"/>
        </w:rPr>
      </w:pPr>
    </w:p>
    <w:p w14:paraId="2C4ECB55" w14:textId="77777777" w:rsidR="00D0692B" w:rsidRDefault="00D0692B" w:rsidP="00D0692B">
      <w:pPr>
        <w:rPr>
          <w:rFonts w:eastAsia="Times New Roman" w:cs="Arial"/>
        </w:rPr>
      </w:pPr>
      <w:r>
        <w:rPr>
          <w:rFonts w:eastAsia="Times New Roman" w:cs="Arial"/>
        </w:rPr>
        <w:t>2021+2022 Patient-level hypothesis-based validity results</w:t>
      </w:r>
    </w:p>
    <w:tbl>
      <w:tblPr>
        <w:tblStyle w:val="TableGrid"/>
        <w:tblW w:w="8924" w:type="dxa"/>
        <w:tblInd w:w="161" w:type="dxa"/>
        <w:tblLayout w:type="fixed"/>
        <w:tblLook w:val="04A0" w:firstRow="1" w:lastRow="0" w:firstColumn="1" w:lastColumn="0" w:noHBand="0" w:noVBand="1"/>
      </w:tblPr>
      <w:tblGrid>
        <w:gridCol w:w="3164"/>
        <w:gridCol w:w="1530"/>
        <w:gridCol w:w="1170"/>
        <w:gridCol w:w="720"/>
        <w:gridCol w:w="810"/>
        <w:gridCol w:w="810"/>
        <w:gridCol w:w="720"/>
      </w:tblGrid>
      <w:tr w:rsidR="00D0692B" w:rsidRPr="002C4199" w14:paraId="5595F96E" w14:textId="77777777" w:rsidTr="003F0AC2">
        <w:trPr>
          <w:tblHeader/>
        </w:trPr>
        <w:tc>
          <w:tcPr>
            <w:tcW w:w="3164" w:type="dxa"/>
            <w:shd w:val="clear" w:color="auto" w:fill="D9D9D9" w:themeFill="background1" w:themeFillShade="D9"/>
          </w:tcPr>
          <w:p w14:paraId="65DB3B91"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Group</w:t>
            </w:r>
          </w:p>
        </w:tc>
        <w:tc>
          <w:tcPr>
            <w:tcW w:w="1530" w:type="dxa"/>
            <w:shd w:val="clear" w:color="auto" w:fill="D9D9D9" w:themeFill="background1" w:themeFillShade="D9"/>
          </w:tcPr>
          <w:p w14:paraId="268912A7"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Denominator count</w:t>
            </w:r>
          </w:p>
        </w:tc>
        <w:tc>
          <w:tcPr>
            <w:tcW w:w="1170" w:type="dxa"/>
            <w:shd w:val="clear" w:color="auto" w:fill="D9D9D9" w:themeFill="background1" w:themeFillShade="D9"/>
          </w:tcPr>
          <w:p w14:paraId="739D5680"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Numerator count</w:t>
            </w:r>
          </w:p>
        </w:tc>
        <w:tc>
          <w:tcPr>
            <w:tcW w:w="720" w:type="dxa"/>
            <w:shd w:val="clear" w:color="auto" w:fill="D9D9D9" w:themeFill="background1" w:themeFillShade="D9"/>
          </w:tcPr>
          <w:p w14:paraId="760C516D"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Mean</w:t>
            </w:r>
          </w:p>
        </w:tc>
        <w:tc>
          <w:tcPr>
            <w:tcW w:w="810" w:type="dxa"/>
            <w:shd w:val="clear" w:color="auto" w:fill="D9D9D9" w:themeFill="background1" w:themeFillShade="D9"/>
          </w:tcPr>
          <w:p w14:paraId="519CB636"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Min</w:t>
            </w:r>
          </w:p>
        </w:tc>
        <w:tc>
          <w:tcPr>
            <w:tcW w:w="810" w:type="dxa"/>
            <w:shd w:val="clear" w:color="auto" w:fill="D9D9D9" w:themeFill="background1" w:themeFillShade="D9"/>
          </w:tcPr>
          <w:p w14:paraId="040719F3"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Max</w:t>
            </w:r>
          </w:p>
        </w:tc>
        <w:tc>
          <w:tcPr>
            <w:tcW w:w="720" w:type="dxa"/>
            <w:shd w:val="clear" w:color="auto" w:fill="D9D9D9" w:themeFill="background1" w:themeFillShade="D9"/>
          </w:tcPr>
          <w:p w14:paraId="1F7B3B13" w14:textId="77777777" w:rsidR="00D0692B" w:rsidRPr="00AD39EE" w:rsidRDefault="00D0692B" w:rsidP="00EA147F">
            <w:pPr>
              <w:rPr>
                <w:rFonts w:asciiTheme="minorHAnsi" w:eastAsia="Times New Roman" w:hAnsiTheme="minorHAnsi" w:cstheme="minorHAnsi"/>
                <w:b/>
                <w:bCs/>
                <w:color w:val="1F4E79" w:themeColor="accent5" w:themeShade="80"/>
                <w:sz w:val="18"/>
                <w:szCs w:val="18"/>
              </w:rPr>
            </w:pPr>
            <w:r w:rsidRPr="00AD39EE">
              <w:rPr>
                <w:rFonts w:asciiTheme="minorHAnsi" w:eastAsia="Times New Roman" w:hAnsiTheme="minorHAnsi" w:cstheme="minorHAnsi"/>
                <w:b/>
                <w:bCs/>
                <w:color w:val="1F4E79" w:themeColor="accent5" w:themeShade="80"/>
                <w:sz w:val="18"/>
                <w:szCs w:val="18"/>
              </w:rPr>
              <w:t>Cohen</w:t>
            </w:r>
          </w:p>
        </w:tc>
      </w:tr>
      <w:tr w:rsidR="00D0692B" w:rsidRPr="002C4199" w14:paraId="34ABCED7" w14:textId="77777777" w:rsidTr="00EA147F">
        <w:tc>
          <w:tcPr>
            <w:tcW w:w="3164" w:type="dxa"/>
          </w:tcPr>
          <w:p w14:paraId="758ECD45"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Sex: Male</w:t>
            </w:r>
          </w:p>
        </w:tc>
        <w:tc>
          <w:tcPr>
            <w:tcW w:w="1530" w:type="dxa"/>
          </w:tcPr>
          <w:p w14:paraId="0265C7E1"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340</w:t>
            </w:r>
          </w:p>
        </w:tc>
        <w:tc>
          <w:tcPr>
            <w:tcW w:w="1170" w:type="dxa"/>
          </w:tcPr>
          <w:p w14:paraId="15B1C74D"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171</w:t>
            </w:r>
          </w:p>
        </w:tc>
        <w:tc>
          <w:tcPr>
            <w:tcW w:w="720" w:type="dxa"/>
          </w:tcPr>
          <w:p w14:paraId="6037902B"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0.52</w:t>
            </w:r>
          </w:p>
        </w:tc>
        <w:tc>
          <w:tcPr>
            <w:tcW w:w="810" w:type="dxa"/>
          </w:tcPr>
          <w:p w14:paraId="4EA29F22"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0.00</w:t>
            </w:r>
          </w:p>
        </w:tc>
        <w:tc>
          <w:tcPr>
            <w:tcW w:w="810" w:type="dxa"/>
          </w:tcPr>
          <w:p w14:paraId="4FBFA934"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1.00</w:t>
            </w:r>
          </w:p>
        </w:tc>
        <w:tc>
          <w:tcPr>
            <w:tcW w:w="720" w:type="dxa"/>
          </w:tcPr>
          <w:p w14:paraId="06CAFF2B"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0.04</w:t>
            </w:r>
          </w:p>
        </w:tc>
      </w:tr>
      <w:tr w:rsidR="00D0692B" w:rsidRPr="002C4199" w14:paraId="27427DF4" w14:textId="77777777" w:rsidTr="00EA147F">
        <w:tc>
          <w:tcPr>
            <w:tcW w:w="3164" w:type="dxa"/>
          </w:tcPr>
          <w:p w14:paraId="3E2AED1D"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Sex: Female</w:t>
            </w:r>
          </w:p>
        </w:tc>
        <w:tc>
          <w:tcPr>
            <w:tcW w:w="1530" w:type="dxa"/>
          </w:tcPr>
          <w:p w14:paraId="0FD757AA"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200</w:t>
            </w:r>
          </w:p>
        </w:tc>
        <w:tc>
          <w:tcPr>
            <w:tcW w:w="1170" w:type="dxa"/>
          </w:tcPr>
          <w:p w14:paraId="534ADE56"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92</w:t>
            </w:r>
          </w:p>
        </w:tc>
        <w:tc>
          <w:tcPr>
            <w:tcW w:w="720" w:type="dxa"/>
          </w:tcPr>
          <w:p w14:paraId="7A407150"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0.50</w:t>
            </w:r>
          </w:p>
        </w:tc>
        <w:tc>
          <w:tcPr>
            <w:tcW w:w="810" w:type="dxa"/>
          </w:tcPr>
          <w:p w14:paraId="154815BB"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0.00</w:t>
            </w:r>
          </w:p>
        </w:tc>
        <w:tc>
          <w:tcPr>
            <w:tcW w:w="810" w:type="dxa"/>
          </w:tcPr>
          <w:p w14:paraId="09767097"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1.00</w:t>
            </w:r>
          </w:p>
        </w:tc>
        <w:tc>
          <w:tcPr>
            <w:tcW w:w="720" w:type="dxa"/>
          </w:tcPr>
          <w:p w14:paraId="1FCA198A"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0.04</w:t>
            </w:r>
          </w:p>
        </w:tc>
      </w:tr>
      <w:tr w:rsidR="00D0692B" w:rsidRPr="002C4199" w14:paraId="33FB8368" w14:textId="77777777" w:rsidTr="00EA147F">
        <w:tc>
          <w:tcPr>
            <w:tcW w:w="3164" w:type="dxa"/>
            <w:shd w:val="clear" w:color="auto" w:fill="D9D9D9" w:themeFill="background1" w:themeFillShade="D9"/>
          </w:tcPr>
          <w:p w14:paraId="3CE6C3AC"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lastRenderedPageBreak/>
              <w:t>Insurance status: Insured</w:t>
            </w:r>
          </w:p>
        </w:tc>
        <w:tc>
          <w:tcPr>
            <w:tcW w:w="1530" w:type="dxa"/>
            <w:shd w:val="clear" w:color="auto" w:fill="D9D9D9" w:themeFill="background1" w:themeFillShade="D9"/>
          </w:tcPr>
          <w:p w14:paraId="7BED62A4"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523</w:t>
            </w:r>
          </w:p>
        </w:tc>
        <w:tc>
          <w:tcPr>
            <w:tcW w:w="1170" w:type="dxa"/>
            <w:shd w:val="clear" w:color="auto" w:fill="D9D9D9" w:themeFill="background1" w:themeFillShade="D9"/>
          </w:tcPr>
          <w:p w14:paraId="5CEE2084"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260</w:t>
            </w:r>
          </w:p>
        </w:tc>
        <w:tc>
          <w:tcPr>
            <w:tcW w:w="720" w:type="dxa"/>
            <w:shd w:val="clear" w:color="auto" w:fill="D9D9D9" w:themeFill="background1" w:themeFillShade="D9"/>
          </w:tcPr>
          <w:p w14:paraId="36625A5F"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0.53</w:t>
            </w:r>
          </w:p>
        </w:tc>
        <w:tc>
          <w:tcPr>
            <w:tcW w:w="810" w:type="dxa"/>
            <w:shd w:val="clear" w:color="auto" w:fill="D9D9D9" w:themeFill="background1" w:themeFillShade="D9"/>
          </w:tcPr>
          <w:p w14:paraId="7631AFFF"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0.00</w:t>
            </w:r>
          </w:p>
        </w:tc>
        <w:tc>
          <w:tcPr>
            <w:tcW w:w="810" w:type="dxa"/>
            <w:shd w:val="clear" w:color="auto" w:fill="D9D9D9" w:themeFill="background1" w:themeFillShade="D9"/>
          </w:tcPr>
          <w:p w14:paraId="6B39C065"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1.00</w:t>
            </w:r>
          </w:p>
        </w:tc>
        <w:tc>
          <w:tcPr>
            <w:tcW w:w="720" w:type="dxa"/>
            <w:shd w:val="clear" w:color="auto" w:fill="D9D9D9" w:themeFill="background1" w:themeFillShade="D9"/>
          </w:tcPr>
          <w:p w14:paraId="2196DF26"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0.84</w:t>
            </w:r>
          </w:p>
        </w:tc>
      </w:tr>
      <w:tr w:rsidR="00D0692B" w:rsidRPr="002C4199" w14:paraId="2B890C85" w14:textId="77777777" w:rsidTr="00EA147F">
        <w:tc>
          <w:tcPr>
            <w:tcW w:w="3164" w:type="dxa"/>
            <w:shd w:val="clear" w:color="auto" w:fill="D9D9D9" w:themeFill="background1" w:themeFillShade="D9"/>
          </w:tcPr>
          <w:p w14:paraId="52ECF503"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Insurance status: Not insured</w:t>
            </w:r>
          </w:p>
        </w:tc>
        <w:tc>
          <w:tcPr>
            <w:tcW w:w="1530" w:type="dxa"/>
            <w:shd w:val="clear" w:color="auto" w:fill="D9D9D9" w:themeFill="background1" w:themeFillShade="D9"/>
          </w:tcPr>
          <w:p w14:paraId="678051D3"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17</w:t>
            </w:r>
          </w:p>
        </w:tc>
        <w:tc>
          <w:tcPr>
            <w:tcW w:w="1170" w:type="dxa"/>
            <w:shd w:val="clear" w:color="auto" w:fill="D9D9D9" w:themeFill="background1" w:themeFillShade="D9"/>
          </w:tcPr>
          <w:p w14:paraId="40CFEE68"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2</w:t>
            </w:r>
          </w:p>
        </w:tc>
        <w:tc>
          <w:tcPr>
            <w:tcW w:w="720" w:type="dxa"/>
            <w:shd w:val="clear" w:color="auto" w:fill="D9D9D9" w:themeFill="background1" w:themeFillShade="D9"/>
          </w:tcPr>
          <w:p w14:paraId="03F9F50F"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0.13</w:t>
            </w:r>
          </w:p>
        </w:tc>
        <w:tc>
          <w:tcPr>
            <w:tcW w:w="810" w:type="dxa"/>
            <w:shd w:val="clear" w:color="auto" w:fill="D9D9D9" w:themeFill="background1" w:themeFillShade="D9"/>
          </w:tcPr>
          <w:p w14:paraId="273AFBCB"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0.00</w:t>
            </w:r>
          </w:p>
        </w:tc>
        <w:tc>
          <w:tcPr>
            <w:tcW w:w="810" w:type="dxa"/>
            <w:shd w:val="clear" w:color="auto" w:fill="D9D9D9" w:themeFill="background1" w:themeFillShade="D9"/>
          </w:tcPr>
          <w:p w14:paraId="1CDA6F31"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1.00</w:t>
            </w:r>
          </w:p>
        </w:tc>
        <w:tc>
          <w:tcPr>
            <w:tcW w:w="720" w:type="dxa"/>
            <w:shd w:val="clear" w:color="auto" w:fill="D9D9D9" w:themeFill="background1" w:themeFillShade="D9"/>
          </w:tcPr>
          <w:p w14:paraId="02E8797B" w14:textId="77777777" w:rsidR="00D0692B" w:rsidRPr="00AD39EE" w:rsidRDefault="00D0692B" w:rsidP="00EA147F">
            <w:pPr>
              <w:rPr>
                <w:rFonts w:asciiTheme="minorHAnsi" w:eastAsia="Times New Roman" w:hAnsiTheme="minorHAnsi" w:cstheme="minorHAnsi"/>
                <w:color w:val="1F4E79" w:themeColor="accent5" w:themeShade="80"/>
                <w:sz w:val="18"/>
                <w:szCs w:val="18"/>
              </w:rPr>
            </w:pPr>
            <w:r w:rsidRPr="00AD39EE">
              <w:rPr>
                <w:rFonts w:asciiTheme="minorHAnsi" w:eastAsia="Times New Roman" w:hAnsiTheme="minorHAnsi" w:cstheme="minorHAnsi"/>
                <w:color w:val="1F4E79" w:themeColor="accent5" w:themeShade="80"/>
                <w:sz w:val="18"/>
                <w:szCs w:val="18"/>
              </w:rPr>
              <w:t>0.84</w:t>
            </w:r>
          </w:p>
        </w:tc>
      </w:tr>
      <w:tr w:rsidR="00D0692B" w:rsidRPr="002C4199" w14:paraId="1568E557" w14:textId="77777777" w:rsidTr="00EA147F">
        <w:tc>
          <w:tcPr>
            <w:tcW w:w="3164" w:type="dxa"/>
            <w:shd w:val="clear" w:color="auto" w:fill="auto"/>
          </w:tcPr>
          <w:p w14:paraId="43B223EF"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Comorbidities: Yes</w:t>
            </w:r>
          </w:p>
        </w:tc>
        <w:tc>
          <w:tcPr>
            <w:tcW w:w="1530" w:type="dxa"/>
            <w:shd w:val="clear" w:color="auto" w:fill="auto"/>
          </w:tcPr>
          <w:p w14:paraId="24195B99"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71</w:t>
            </w:r>
          </w:p>
        </w:tc>
        <w:tc>
          <w:tcPr>
            <w:tcW w:w="1170" w:type="dxa"/>
            <w:shd w:val="clear" w:color="auto" w:fill="auto"/>
          </w:tcPr>
          <w:p w14:paraId="7BDBB2E7"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41</w:t>
            </w:r>
          </w:p>
        </w:tc>
        <w:tc>
          <w:tcPr>
            <w:tcW w:w="720" w:type="dxa"/>
            <w:shd w:val="clear" w:color="auto" w:fill="auto"/>
          </w:tcPr>
          <w:p w14:paraId="366B3C35"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0.69</w:t>
            </w:r>
          </w:p>
        </w:tc>
        <w:tc>
          <w:tcPr>
            <w:tcW w:w="810" w:type="dxa"/>
            <w:shd w:val="clear" w:color="auto" w:fill="auto"/>
          </w:tcPr>
          <w:p w14:paraId="4AF1937F"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0.00</w:t>
            </w:r>
          </w:p>
        </w:tc>
        <w:tc>
          <w:tcPr>
            <w:tcW w:w="810" w:type="dxa"/>
            <w:shd w:val="clear" w:color="auto" w:fill="auto"/>
          </w:tcPr>
          <w:p w14:paraId="30B44B99"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1.00</w:t>
            </w:r>
          </w:p>
        </w:tc>
        <w:tc>
          <w:tcPr>
            <w:tcW w:w="720" w:type="dxa"/>
            <w:shd w:val="clear" w:color="auto" w:fill="auto"/>
          </w:tcPr>
          <w:p w14:paraId="0FC50BF8"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0.40</w:t>
            </w:r>
          </w:p>
        </w:tc>
      </w:tr>
      <w:tr w:rsidR="00D0692B" w:rsidRPr="002C4199" w14:paraId="6F1C3867" w14:textId="77777777" w:rsidTr="00EA147F">
        <w:tc>
          <w:tcPr>
            <w:tcW w:w="3164" w:type="dxa"/>
            <w:shd w:val="clear" w:color="auto" w:fill="auto"/>
          </w:tcPr>
          <w:p w14:paraId="7432EF94"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Comorbidities: No</w:t>
            </w:r>
          </w:p>
        </w:tc>
        <w:tc>
          <w:tcPr>
            <w:tcW w:w="1530" w:type="dxa"/>
            <w:shd w:val="clear" w:color="auto" w:fill="auto"/>
          </w:tcPr>
          <w:p w14:paraId="611DEAB6"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470</w:t>
            </w:r>
          </w:p>
        </w:tc>
        <w:tc>
          <w:tcPr>
            <w:tcW w:w="1170" w:type="dxa"/>
            <w:shd w:val="clear" w:color="auto" w:fill="auto"/>
          </w:tcPr>
          <w:p w14:paraId="53C24253"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222</w:t>
            </w:r>
          </w:p>
        </w:tc>
        <w:tc>
          <w:tcPr>
            <w:tcW w:w="720" w:type="dxa"/>
            <w:shd w:val="clear" w:color="auto" w:fill="auto"/>
          </w:tcPr>
          <w:p w14:paraId="5E774DCE"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0.49</w:t>
            </w:r>
          </w:p>
        </w:tc>
        <w:tc>
          <w:tcPr>
            <w:tcW w:w="810" w:type="dxa"/>
            <w:shd w:val="clear" w:color="auto" w:fill="auto"/>
          </w:tcPr>
          <w:p w14:paraId="21F0C801"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0.00</w:t>
            </w:r>
          </w:p>
        </w:tc>
        <w:tc>
          <w:tcPr>
            <w:tcW w:w="810" w:type="dxa"/>
            <w:shd w:val="clear" w:color="auto" w:fill="auto"/>
          </w:tcPr>
          <w:p w14:paraId="2D35A4FB"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1.00</w:t>
            </w:r>
          </w:p>
        </w:tc>
        <w:tc>
          <w:tcPr>
            <w:tcW w:w="720" w:type="dxa"/>
            <w:shd w:val="clear" w:color="auto" w:fill="auto"/>
          </w:tcPr>
          <w:p w14:paraId="7E070A1F" w14:textId="77777777" w:rsidR="00D0692B" w:rsidRPr="00AD39EE" w:rsidRDefault="00D0692B" w:rsidP="00EA147F">
            <w:pPr>
              <w:rPr>
                <w:rFonts w:asciiTheme="minorHAnsi" w:eastAsia="Times New Roman" w:hAnsiTheme="minorHAnsi" w:cstheme="minorHAnsi"/>
                <w:color w:val="2E74B5" w:themeColor="accent5" w:themeShade="BF"/>
                <w:sz w:val="18"/>
                <w:szCs w:val="18"/>
              </w:rPr>
            </w:pPr>
            <w:r w:rsidRPr="00AD39EE">
              <w:rPr>
                <w:rFonts w:asciiTheme="minorHAnsi" w:eastAsia="Times New Roman" w:hAnsiTheme="minorHAnsi" w:cstheme="minorHAnsi"/>
                <w:color w:val="2E74B5" w:themeColor="accent5" w:themeShade="BF"/>
                <w:sz w:val="18"/>
                <w:szCs w:val="18"/>
              </w:rPr>
              <w:t>0.40</w:t>
            </w:r>
          </w:p>
        </w:tc>
      </w:tr>
    </w:tbl>
    <w:p w14:paraId="35020F13" w14:textId="77777777" w:rsidR="00D0692B" w:rsidRPr="003811D9" w:rsidRDefault="00D0692B" w:rsidP="00D0692B">
      <w:pPr>
        <w:pStyle w:val="ListParagraph"/>
        <w:ind w:left="1890"/>
        <w:rPr>
          <w:rFonts w:ascii="Arial" w:hAnsi="Arial" w:cs="Arial"/>
        </w:rPr>
      </w:pPr>
    </w:p>
    <w:p w14:paraId="3C95EC4D" w14:textId="298D1CD6" w:rsidR="0E4CCD3D" w:rsidRPr="00D0692B" w:rsidRDefault="0E4CCD3D" w:rsidP="211D164F">
      <w:pPr>
        <w:pStyle w:val="ListParagraph"/>
        <w:numPr>
          <w:ilvl w:val="1"/>
          <w:numId w:val="6"/>
        </w:numPr>
        <w:ind w:left="1890"/>
      </w:pPr>
      <w:r w:rsidRPr="211D164F">
        <w:rPr>
          <w:rFonts w:ascii="Arial" w:hAnsi="Arial" w:cs="Arial"/>
        </w:rPr>
        <w:t>Data Element/Patient Encounter Level Testing</w:t>
      </w:r>
    </w:p>
    <w:p w14:paraId="77CBEE30" w14:textId="747A5225" w:rsidR="00D0692B" w:rsidRDefault="00D0692B" w:rsidP="00D0692B">
      <w:pPr>
        <w:pStyle w:val="ListParagraph"/>
        <w:ind w:left="1890"/>
      </w:pPr>
      <w:r>
        <w:rPr>
          <w:rFonts w:ascii="Arial" w:hAnsi="Arial" w:cs="Arial"/>
        </w:rPr>
        <w:t>N/A</w:t>
      </w:r>
    </w:p>
    <w:p w14:paraId="6E5B7EFC" w14:textId="3DD80802" w:rsidR="00ED5E4C" w:rsidRDefault="00ED5E4C" w:rsidP="211D164F">
      <w:pPr>
        <w:pStyle w:val="ListParagraph"/>
        <w:numPr>
          <w:ilvl w:val="1"/>
          <w:numId w:val="6"/>
        </w:numPr>
        <w:ind w:left="1890"/>
        <w:rPr>
          <w:rFonts w:ascii="Arial" w:hAnsi="Arial" w:cs="Arial"/>
        </w:rPr>
      </w:pPr>
      <w:r w:rsidRPr="211D164F">
        <w:rPr>
          <w:rFonts w:ascii="Arial" w:hAnsi="Arial" w:cs="Arial"/>
        </w:rPr>
        <w:t xml:space="preserve">Exclusion </w:t>
      </w:r>
      <w:r w:rsidR="00DE4ABB" w:rsidRPr="211D164F">
        <w:rPr>
          <w:rFonts w:ascii="Arial" w:hAnsi="Arial" w:cs="Arial"/>
        </w:rPr>
        <w:t>F</w:t>
      </w:r>
      <w:r w:rsidRPr="211D164F">
        <w:rPr>
          <w:rFonts w:ascii="Arial" w:hAnsi="Arial" w:cs="Arial"/>
        </w:rPr>
        <w:t>requency</w:t>
      </w:r>
      <w:r w:rsidR="003C0773" w:rsidRPr="211D164F">
        <w:rPr>
          <w:rFonts w:ascii="Arial" w:hAnsi="Arial" w:cs="Arial"/>
        </w:rPr>
        <w:t xml:space="preserve"> </w:t>
      </w:r>
    </w:p>
    <w:p w14:paraId="3FC7E4CD" w14:textId="09E2C7E9" w:rsidR="00D0692B" w:rsidRPr="00A708D6" w:rsidRDefault="00D0692B" w:rsidP="00D0692B">
      <w:pPr>
        <w:pStyle w:val="ListParagraph"/>
        <w:ind w:left="1890"/>
        <w:rPr>
          <w:rFonts w:ascii="Arial" w:hAnsi="Arial" w:cs="Arial"/>
        </w:rPr>
      </w:pPr>
      <w:r>
        <w:rPr>
          <w:rFonts w:ascii="Arial" w:hAnsi="Arial" w:cs="Arial"/>
        </w:rPr>
        <w:t>N/A</w:t>
      </w:r>
    </w:p>
    <w:p w14:paraId="472379CA" w14:textId="77777777" w:rsidR="00ED5E4C" w:rsidRDefault="00ED5E4C" w:rsidP="211D164F">
      <w:pPr>
        <w:pStyle w:val="ListParagraph"/>
        <w:numPr>
          <w:ilvl w:val="1"/>
          <w:numId w:val="6"/>
        </w:numPr>
        <w:spacing w:line="360" w:lineRule="auto"/>
        <w:ind w:left="1890"/>
        <w:rPr>
          <w:rFonts w:ascii="Arial" w:hAnsi="Arial" w:cs="Arial"/>
        </w:rPr>
      </w:pPr>
      <w:r w:rsidRPr="211D164F">
        <w:rPr>
          <w:rFonts w:ascii="Arial" w:hAnsi="Arial" w:cs="Arial"/>
        </w:rPr>
        <w:t xml:space="preserve">What were the minimum sample sizes used for reliability results? </w:t>
      </w:r>
    </w:p>
    <w:p w14:paraId="1FC84755" w14:textId="19E092BF" w:rsidR="00D0692B" w:rsidRPr="00A708D6" w:rsidRDefault="00D0692B" w:rsidP="00D0692B">
      <w:pPr>
        <w:pStyle w:val="ListParagraph"/>
        <w:spacing w:line="360" w:lineRule="auto"/>
        <w:ind w:left="1890"/>
        <w:rPr>
          <w:rFonts w:ascii="Arial" w:hAnsi="Arial" w:cs="Arial"/>
        </w:rPr>
      </w:pPr>
      <w:r>
        <w:rPr>
          <w:rFonts w:ascii="Arial" w:hAnsi="Arial" w:cs="Arial"/>
        </w:rPr>
        <w:t>At least 11 patients</w:t>
      </w:r>
    </w:p>
    <w:p w14:paraId="3704181E" w14:textId="23B80F9E" w:rsidR="00ED5E4C" w:rsidRPr="003811D9" w:rsidRDefault="00ED5E4C" w:rsidP="003811D9">
      <w:pPr>
        <w:pStyle w:val="ListParagraph"/>
        <w:numPr>
          <w:ilvl w:val="1"/>
          <w:numId w:val="10"/>
        </w:numPr>
        <w:rPr>
          <w:rFonts w:ascii="Arial" w:hAnsi="Arial" w:cs="Arial"/>
          <w:iCs/>
        </w:rPr>
      </w:pPr>
      <w:r w:rsidRPr="003811D9">
        <w:rPr>
          <w:rFonts w:ascii="Arial" w:hAnsi="Arial" w:cs="Arial"/>
          <w:iCs/>
        </w:rPr>
        <w:t>Other Information</w:t>
      </w:r>
    </w:p>
    <w:p w14:paraId="331E19A8" w14:textId="77777777" w:rsidR="00ED5E4C" w:rsidRDefault="00ED5E4C" w:rsidP="003811D9">
      <w:pPr>
        <w:pStyle w:val="ListParagraph"/>
        <w:numPr>
          <w:ilvl w:val="0"/>
          <w:numId w:val="11"/>
        </w:numPr>
        <w:ind w:left="1890"/>
        <w:rPr>
          <w:rFonts w:ascii="Arial" w:hAnsi="Arial" w:cs="Arial"/>
          <w:iCs/>
        </w:rPr>
      </w:pPr>
      <w:r w:rsidRPr="003811D9">
        <w:rPr>
          <w:rFonts w:ascii="Arial" w:hAnsi="Arial" w:cs="Arial"/>
          <w:iCs/>
        </w:rPr>
        <w:t>Is it risk adjusted? If so, how?</w:t>
      </w:r>
    </w:p>
    <w:p w14:paraId="425EE01E" w14:textId="73E6E7AB" w:rsidR="009C166F" w:rsidRPr="00A708D6" w:rsidRDefault="009C166F" w:rsidP="009C166F">
      <w:pPr>
        <w:pStyle w:val="ListParagraph"/>
        <w:ind w:left="1890"/>
        <w:rPr>
          <w:rFonts w:ascii="Arial" w:hAnsi="Arial" w:cs="Arial"/>
          <w:iCs/>
        </w:rPr>
      </w:pPr>
      <w:r>
        <w:rPr>
          <w:rFonts w:ascii="Arial" w:hAnsi="Arial" w:cs="Arial"/>
          <w:iCs/>
        </w:rPr>
        <w:t>This measure is not recommended for risk adjustment.</w:t>
      </w:r>
    </w:p>
    <w:p w14:paraId="24CB04F2" w14:textId="77777777" w:rsidR="00ED5E4C" w:rsidRDefault="00ED5E4C" w:rsidP="003811D9">
      <w:pPr>
        <w:pStyle w:val="ListParagraph"/>
        <w:numPr>
          <w:ilvl w:val="0"/>
          <w:numId w:val="11"/>
        </w:numPr>
        <w:ind w:left="1890"/>
        <w:rPr>
          <w:rFonts w:ascii="Arial" w:hAnsi="Arial" w:cs="Arial"/>
          <w:iCs/>
        </w:rPr>
      </w:pPr>
      <w:r w:rsidRPr="003811D9">
        <w:rPr>
          <w:rFonts w:ascii="Arial" w:hAnsi="Arial" w:cs="Arial"/>
          <w:iCs/>
        </w:rPr>
        <w:t>What benchmarking information is available?</w:t>
      </w:r>
    </w:p>
    <w:p w14:paraId="01A16FFA" w14:textId="245CC323" w:rsidR="009C166F" w:rsidRPr="00A708D6" w:rsidRDefault="009C166F" w:rsidP="009C166F">
      <w:pPr>
        <w:pStyle w:val="ListParagraph"/>
        <w:ind w:left="1890"/>
        <w:rPr>
          <w:rFonts w:ascii="Arial" w:hAnsi="Arial" w:cs="Arial"/>
          <w:iCs/>
        </w:rPr>
      </w:pPr>
      <w:r>
        <w:rPr>
          <w:rFonts w:ascii="Arial" w:hAnsi="Arial" w:cs="Arial"/>
          <w:iCs/>
        </w:rPr>
        <w:t>There are no benchmarks for this measure.</w:t>
      </w:r>
    </w:p>
    <w:p w14:paraId="1B897343" w14:textId="55C26CF9" w:rsidR="00ED5E4C" w:rsidRDefault="00ED5E4C" w:rsidP="003811D9">
      <w:pPr>
        <w:pStyle w:val="ListParagraph"/>
        <w:numPr>
          <w:ilvl w:val="0"/>
          <w:numId w:val="11"/>
        </w:numPr>
        <w:ind w:left="1890"/>
        <w:rPr>
          <w:rFonts w:ascii="Arial" w:hAnsi="Arial" w:cs="Arial"/>
          <w:iCs/>
        </w:rPr>
      </w:pPr>
      <w:r w:rsidRPr="003811D9">
        <w:rPr>
          <w:rFonts w:ascii="Arial" w:hAnsi="Arial" w:cs="Arial"/>
          <w:iCs/>
        </w:rPr>
        <w:t>Collection Type: Specify the data collection type.</w:t>
      </w:r>
    </w:p>
    <w:p w14:paraId="24142327" w14:textId="54459FC1" w:rsidR="009C166F" w:rsidRDefault="009C166F" w:rsidP="009C166F">
      <w:pPr>
        <w:pStyle w:val="ListParagraph"/>
        <w:ind w:left="1890"/>
        <w:rPr>
          <w:rFonts w:ascii="Arial" w:hAnsi="Arial" w:cs="Arial"/>
          <w:iCs/>
        </w:rPr>
      </w:pPr>
      <w:r>
        <w:rPr>
          <w:rFonts w:ascii="Arial" w:hAnsi="Arial" w:cs="Arial"/>
          <w:iCs/>
        </w:rPr>
        <w:t>Most data elements Electronic Health Records or will be available in electronic health records when HCPCS codes are assigned.</w:t>
      </w:r>
    </w:p>
    <w:p w14:paraId="1EDB6D7E" w14:textId="0B8C51B7" w:rsidR="002A6F41" w:rsidRDefault="002A6F41" w:rsidP="003811D9">
      <w:pPr>
        <w:pStyle w:val="ListParagraph"/>
        <w:numPr>
          <w:ilvl w:val="0"/>
          <w:numId w:val="11"/>
        </w:numPr>
        <w:ind w:left="1890"/>
        <w:rPr>
          <w:rFonts w:ascii="Arial" w:hAnsi="Arial" w:cs="Arial"/>
          <w:iCs/>
        </w:rPr>
      </w:pPr>
      <w:r>
        <w:rPr>
          <w:rFonts w:ascii="Arial" w:hAnsi="Arial" w:cs="Arial"/>
          <w:iCs/>
        </w:rPr>
        <w:t xml:space="preserve">Specify </w:t>
      </w:r>
      <w:r w:rsidR="00D60F1E">
        <w:rPr>
          <w:rFonts w:ascii="Arial" w:hAnsi="Arial" w:cs="Arial"/>
          <w:iCs/>
        </w:rPr>
        <w:t xml:space="preserve">measure </w:t>
      </w:r>
      <w:r>
        <w:rPr>
          <w:rFonts w:ascii="Arial" w:hAnsi="Arial" w:cs="Arial"/>
          <w:iCs/>
        </w:rPr>
        <w:t>stage of development</w:t>
      </w:r>
      <w:r w:rsidR="00D60F1E">
        <w:rPr>
          <w:rFonts w:ascii="Arial" w:hAnsi="Arial" w:cs="Arial"/>
          <w:iCs/>
        </w:rPr>
        <w:t>.</w:t>
      </w:r>
    </w:p>
    <w:p w14:paraId="605DB6A7" w14:textId="4D5AD030" w:rsidR="009C166F" w:rsidRDefault="009C166F" w:rsidP="009C166F">
      <w:pPr>
        <w:pStyle w:val="ListParagraph"/>
        <w:ind w:left="1890"/>
        <w:rPr>
          <w:rFonts w:ascii="Arial" w:hAnsi="Arial" w:cs="Arial"/>
          <w:iCs/>
        </w:rPr>
      </w:pPr>
      <w:r>
        <w:rPr>
          <w:rFonts w:ascii="Arial" w:hAnsi="Arial" w:cs="Arial"/>
          <w:iCs/>
        </w:rPr>
        <w:t xml:space="preserve">Fully Developed and </w:t>
      </w:r>
      <w:r w:rsidR="00D0692B">
        <w:rPr>
          <w:rFonts w:ascii="Arial" w:hAnsi="Arial" w:cs="Arial"/>
          <w:iCs/>
        </w:rPr>
        <w:t>tested.</w:t>
      </w:r>
    </w:p>
    <w:p w14:paraId="476E0CB5" w14:textId="7A577A40" w:rsidR="00D86E37" w:rsidRDefault="001359DA" w:rsidP="003811D9">
      <w:pPr>
        <w:pStyle w:val="ListParagraph"/>
        <w:numPr>
          <w:ilvl w:val="0"/>
          <w:numId w:val="11"/>
        </w:numPr>
        <w:ind w:left="1890"/>
        <w:rPr>
          <w:rFonts w:ascii="Arial" w:hAnsi="Arial" w:cs="Arial"/>
          <w:iCs/>
        </w:rPr>
      </w:pPr>
      <w:r>
        <w:rPr>
          <w:rFonts w:ascii="Arial" w:hAnsi="Arial" w:cs="Arial"/>
          <w:iCs/>
        </w:rPr>
        <w:t>For Patient Reported Outcome Performance Measures</w:t>
      </w:r>
      <w:r w:rsidR="00D60F1E">
        <w:rPr>
          <w:rFonts w:ascii="Arial" w:hAnsi="Arial" w:cs="Arial"/>
          <w:iCs/>
        </w:rPr>
        <w:t>:</w:t>
      </w:r>
    </w:p>
    <w:p w14:paraId="248E770F" w14:textId="4B80D05F" w:rsidR="00D920F0" w:rsidRPr="009C166F" w:rsidRDefault="00090865" w:rsidP="001F1DB8">
      <w:pPr>
        <w:pStyle w:val="ListParagraph"/>
        <w:numPr>
          <w:ilvl w:val="1"/>
          <w:numId w:val="13"/>
        </w:numPr>
        <w:rPr>
          <w:rFonts w:ascii="Arial" w:hAnsi="Arial" w:cs="Arial"/>
        </w:rPr>
      </w:pPr>
      <w:r w:rsidRPr="00D920F0">
        <w:rPr>
          <w:rFonts w:ascii="Arial" w:hAnsi="Arial" w:cs="Arial"/>
          <w:iCs/>
        </w:rPr>
        <w:t>T</w:t>
      </w:r>
      <w:r w:rsidR="00CE6DE8" w:rsidRPr="00D920F0">
        <w:rPr>
          <w:rFonts w:ascii="Arial" w:hAnsi="Arial" w:cs="Arial"/>
          <w:iCs/>
        </w:rPr>
        <w:t>he survey or tool has been tested</w:t>
      </w:r>
      <w:r w:rsidR="00D86E37" w:rsidRPr="00D920F0">
        <w:rPr>
          <w:rFonts w:ascii="Arial" w:hAnsi="Arial" w:cs="Arial"/>
          <w:iCs/>
        </w:rPr>
        <w:t xml:space="preserve"> and </w:t>
      </w:r>
      <w:r w:rsidR="00D86D62">
        <w:rPr>
          <w:rFonts w:ascii="Arial" w:hAnsi="Arial" w:cs="Arial"/>
          <w:iCs/>
        </w:rPr>
        <w:t>doesn’t</w:t>
      </w:r>
      <w:r w:rsidR="00D86E37" w:rsidRPr="00D920F0">
        <w:rPr>
          <w:rFonts w:ascii="Arial" w:hAnsi="Arial" w:cs="Arial"/>
          <w:iCs/>
        </w:rPr>
        <w:t xml:space="preserve"> require </w:t>
      </w:r>
      <w:r w:rsidRPr="00D920F0">
        <w:rPr>
          <w:rFonts w:ascii="Arial" w:hAnsi="Arial" w:cs="Arial"/>
          <w:iCs/>
        </w:rPr>
        <w:t>modifications based on results</w:t>
      </w:r>
      <w:r w:rsidR="00642EFA" w:rsidRPr="00D920F0">
        <w:rPr>
          <w:rFonts w:ascii="Arial" w:hAnsi="Arial" w:cs="Arial"/>
          <w:iCs/>
        </w:rPr>
        <w:t>?</w:t>
      </w:r>
    </w:p>
    <w:p w14:paraId="32D5BC35" w14:textId="4D5F4A0D" w:rsidR="009C166F" w:rsidRDefault="009C166F" w:rsidP="009C166F">
      <w:pPr>
        <w:pStyle w:val="ListParagraph"/>
        <w:ind w:left="2520"/>
        <w:rPr>
          <w:rFonts w:ascii="Arial" w:hAnsi="Arial" w:cs="Arial"/>
        </w:rPr>
      </w:pPr>
      <w:r>
        <w:rPr>
          <w:rFonts w:ascii="Arial" w:hAnsi="Arial" w:cs="Arial"/>
          <w:iCs/>
        </w:rPr>
        <w:t>Not Applicable</w:t>
      </w:r>
    </w:p>
    <w:p w14:paraId="03177F6D" w14:textId="27C69977" w:rsidR="00434691" w:rsidRPr="009C166F" w:rsidRDefault="00090865" w:rsidP="001F1DB8">
      <w:pPr>
        <w:pStyle w:val="ListParagraph"/>
        <w:numPr>
          <w:ilvl w:val="1"/>
          <w:numId w:val="13"/>
        </w:numPr>
        <w:contextualSpacing w:val="0"/>
        <w:rPr>
          <w:rFonts w:ascii="Arial" w:hAnsi="Arial" w:cs="Arial"/>
          <w:iCs/>
        </w:rPr>
      </w:pPr>
      <w:r w:rsidRPr="00D920F0">
        <w:rPr>
          <w:rFonts w:ascii="Arial" w:hAnsi="Arial" w:cs="Arial"/>
        </w:rPr>
        <w:t>Patient/encounter level testing for each critical data elemen</w:t>
      </w:r>
      <w:r w:rsidR="00642EFA" w:rsidRPr="00D920F0">
        <w:rPr>
          <w:rFonts w:ascii="Arial" w:hAnsi="Arial" w:cs="Arial"/>
        </w:rPr>
        <w:t>t</w:t>
      </w:r>
      <w:r w:rsidR="00A85098" w:rsidRPr="00D920F0">
        <w:rPr>
          <w:rFonts w:ascii="Arial" w:hAnsi="Arial" w:cs="Arial"/>
        </w:rPr>
        <w:t xml:space="preserve"> </w:t>
      </w:r>
      <w:r w:rsidR="00D86D62">
        <w:rPr>
          <w:rFonts w:ascii="Arial" w:hAnsi="Arial" w:cs="Arial"/>
        </w:rPr>
        <w:t>doesn’t</w:t>
      </w:r>
      <w:r w:rsidR="00D27141" w:rsidRPr="00D920F0">
        <w:rPr>
          <w:rFonts w:ascii="Arial" w:hAnsi="Arial" w:cs="Arial"/>
        </w:rPr>
        <w:t xml:space="preserve"> require</w:t>
      </w:r>
      <w:r w:rsidR="00A85098" w:rsidRPr="00D920F0">
        <w:rPr>
          <w:rFonts w:ascii="Arial" w:hAnsi="Arial" w:cs="Arial"/>
        </w:rPr>
        <w:t xml:space="preserve"> changes to the tool base on the results</w:t>
      </w:r>
      <w:r w:rsidR="00642EFA" w:rsidRPr="00D920F0">
        <w:rPr>
          <w:rFonts w:ascii="Arial" w:hAnsi="Arial" w:cs="Arial"/>
        </w:rPr>
        <w:t>?</w:t>
      </w:r>
      <w:r w:rsidRPr="00D920F0">
        <w:rPr>
          <w:rFonts w:ascii="Arial" w:hAnsi="Arial" w:cs="Arial"/>
        </w:rPr>
        <w:t xml:space="preserve"> </w:t>
      </w:r>
    </w:p>
    <w:p w14:paraId="72E708D7" w14:textId="493C7B5F" w:rsidR="009C166F" w:rsidRPr="001F1DB8" w:rsidRDefault="009C166F" w:rsidP="009C166F">
      <w:pPr>
        <w:pStyle w:val="ListParagraph"/>
        <w:ind w:left="2520"/>
        <w:contextualSpacing w:val="0"/>
        <w:rPr>
          <w:rFonts w:ascii="Arial" w:hAnsi="Arial" w:cs="Arial"/>
          <w:iCs/>
        </w:rPr>
      </w:pPr>
      <w:r>
        <w:rPr>
          <w:rFonts w:ascii="Arial" w:hAnsi="Arial" w:cs="Arial"/>
        </w:rPr>
        <w:t>Not Applicable</w:t>
      </w:r>
    </w:p>
    <w:p w14:paraId="378020E9" w14:textId="77777777" w:rsidR="00ED5E4C" w:rsidRPr="005D6A32" w:rsidRDefault="00ED5E4C" w:rsidP="00ED5E4C">
      <w:pPr>
        <w:pStyle w:val="ListParagraph"/>
        <w:numPr>
          <w:ilvl w:val="0"/>
          <w:numId w:val="1"/>
        </w:numPr>
      </w:pPr>
      <w:r w:rsidRPr="005D6A32">
        <w:rPr>
          <w:rFonts w:ascii="Arial" w:hAnsi="Arial" w:cs="Arial"/>
          <w:b/>
        </w:rPr>
        <w:t>Endorsement</w:t>
      </w:r>
    </w:p>
    <w:p w14:paraId="497B59D9" w14:textId="62AE616A" w:rsidR="00ED5E4C" w:rsidRDefault="00ED5E4C" w:rsidP="00ED5E4C">
      <w:pPr>
        <w:pStyle w:val="ListParagraph"/>
        <w:numPr>
          <w:ilvl w:val="0"/>
          <w:numId w:val="5"/>
        </w:numPr>
        <w:contextualSpacing w:val="0"/>
        <w:rPr>
          <w:rFonts w:ascii="Arial" w:hAnsi="Arial" w:cs="Arial"/>
          <w:iCs/>
        </w:rPr>
      </w:pPr>
      <w:r w:rsidRPr="003811D9">
        <w:rPr>
          <w:rFonts w:ascii="Arial" w:hAnsi="Arial" w:cs="Arial"/>
          <w:iCs/>
        </w:rPr>
        <w:t>Provide</w:t>
      </w:r>
      <w:r w:rsidR="00E6558C" w:rsidRPr="003811D9">
        <w:rPr>
          <w:rFonts w:ascii="Arial" w:hAnsi="Arial" w:cs="Arial"/>
          <w:iCs/>
        </w:rPr>
        <w:t xml:space="preserve"> the</w:t>
      </w:r>
      <w:r w:rsidRPr="003811D9">
        <w:rPr>
          <w:rFonts w:ascii="Arial" w:hAnsi="Arial" w:cs="Arial"/>
          <w:iCs/>
        </w:rPr>
        <w:t xml:space="preserve"> </w:t>
      </w:r>
      <w:r w:rsidR="007E69C1">
        <w:rPr>
          <w:rFonts w:ascii="Arial" w:hAnsi="Arial" w:cs="Arial"/>
          <w:iCs/>
        </w:rPr>
        <w:t xml:space="preserve">Consensus-Based Entity </w:t>
      </w:r>
      <w:r w:rsidR="000E03D9">
        <w:rPr>
          <w:rFonts w:ascii="Arial" w:hAnsi="Arial" w:cs="Arial"/>
          <w:iCs/>
        </w:rPr>
        <w:t xml:space="preserve">(CBE) </w:t>
      </w:r>
      <w:r w:rsidR="000E0DC9" w:rsidRPr="00053C04">
        <w:rPr>
          <w:rFonts w:ascii="Arial" w:hAnsi="Arial" w:cs="Arial"/>
        </w:rPr>
        <w:t xml:space="preserve">(i.e., </w:t>
      </w:r>
      <w:r w:rsidR="000E0DC9">
        <w:rPr>
          <w:rFonts w:ascii="Arial" w:hAnsi="Arial" w:cs="Arial"/>
        </w:rPr>
        <w:t>Partnership for Quality Measures (</w:t>
      </w:r>
      <w:r w:rsidR="000E0DC9" w:rsidRPr="00053C04">
        <w:rPr>
          <w:rFonts w:ascii="Arial" w:hAnsi="Arial" w:cs="Arial"/>
        </w:rPr>
        <w:t xml:space="preserve">PQM)) </w:t>
      </w:r>
      <w:r w:rsidRPr="003811D9">
        <w:rPr>
          <w:rFonts w:ascii="Arial" w:hAnsi="Arial" w:cs="Arial"/>
          <w:iCs/>
        </w:rPr>
        <w:t xml:space="preserve">endorsement status (and </w:t>
      </w:r>
      <w:r w:rsidR="00E917E1">
        <w:rPr>
          <w:rFonts w:ascii="Arial" w:hAnsi="Arial" w:cs="Arial"/>
          <w:iCs/>
        </w:rPr>
        <w:t>CBE</w:t>
      </w:r>
      <w:r w:rsidR="00CB45B2">
        <w:rPr>
          <w:rFonts w:ascii="Arial" w:hAnsi="Arial" w:cs="Arial"/>
          <w:iCs/>
        </w:rPr>
        <w:t xml:space="preserve"> ID</w:t>
      </w:r>
      <w:r w:rsidRPr="003811D9">
        <w:rPr>
          <w:rFonts w:ascii="Arial" w:hAnsi="Arial" w:cs="Arial"/>
          <w:iCs/>
        </w:rPr>
        <w:t>) and/or other endorsing body</w:t>
      </w:r>
      <w:r w:rsidR="000E0DC9">
        <w:rPr>
          <w:rFonts w:ascii="Arial" w:hAnsi="Arial" w:cs="Arial"/>
          <w:iCs/>
        </w:rPr>
        <w:t xml:space="preserve">. </w:t>
      </w:r>
      <w:r w:rsidRPr="003811D9">
        <w:rPr>
          <w:rFonts w:ascii="Arial" w:hAnsi="Arial" w:cs="Arial"/>
          <w:iCs/>
        </w:rPr>
        <w:t xml:space="preserve">If </w:t>
      </w:r>
      <w:r w:rsidR="00DE4ABB">
        <w:rPr>
          <w:rFonts w:ascii="Arial" w:hAnsi="Arial" w:cs="Arial"/>
          <w:iCs/>
        </w:rPr>
        <w:t xml:space="preserve">the </w:t>
      </w:r>
      <w:r w:rsidRPr="003811D9">
        <w:rPr>
          <w:rFonts w:ascii="Arial" w:hAnsi="Arial" w:cs="Arial"/>
          <w:iCs/>
        </w:rPr>
        <w:t>measure is only endorsed for paper records, please note endorsement for only the data source being submitted</w:t>
      </w:r>
      <w:r w:rsidR="00DE4ABB">
        <w:rPr>
          <w:rFonts w:ascii="Arial" w:hAnsi="Arial" w:cs="Arial"/>
          <w:iCs/>
        </w:rPr>
        <w:t>.</w:t>
      </w:r>
    </w:p>
    <w:p w14:paraId="332E2F71" w14:textId="6325CC0F" w:rsidR="009C166F" w:rsidRPr="003811D9" w:rsidRDefault="009C166F" w:rsidP="009C166F">
      <w:pPr>
        <w:pStyle w:val="ListParagraph"/>
        <w:ind w:left="1440"/>
        <w:contextualSpacing w:val="0"/>
        <w:rPr>
          <w:rFonts w:ascii="Arial" w:hAnsi="Arial" w:cs="Arial"/>
          <w:iCs/>
        </w:rPr>
      </w:pPr>
      <w:r>
        <w:rPr>
          <w:rFonts w:ascii="Arial" w:hAnsi="Arial" w:cs="Arial"/>
          <w:iCs/>
        </w:rPr>
        <w:t>This measure has not been submitted to a CBE for endorsement.</w:t>
      </w:r>
    </w:p>
    <w:p w14:paraId="1C32A417" w14:textId="77777777" w:rsidR="00ED5E4C" w:rsidRPr="005D6A32" w:rsidRDefault="00ED5E4C" w:rsidP="00ED5E4C">
      <w:pPr>
        <w:pStyle w:val="ListParagraph"/>
        <w:numPr>
          <w:ilvl w:val="0"/>
          <w:numId w:val="1"/>
        </w:numPr>
        <w:rPr>
          <w:rFonts w:ascii="Arial" w:hAnsi="Arial" w:cs="Arial"/>
          <w:b/>
        </w:rPr>
      </w:pPr>
      <w:r w:rsidRPr="005D6A32">
        <w:rPr>
          <w:rFonts w:ascii="Arial" w:hAnsi="Arial" w:cs="Arial"/>
          <w:b/>
        </w:rPr>
        <w:t>Summary</w:t>
      </w:r>
    </w:p>
    <w:p w14:paraId="5DCDBA0E" w14:textId="4FD62F45" w:rsidR="00ED5E4C" w:rsidRDefault="00ED5E4C" w:rsidP="78582C71">
      <w:pPr>
        <w:pStyle w:val="ListParagraph"/>
        <w:numPr>
          <w:ilvl w:val="0"/>
          <w:numId w:val="4"/>
        </w:numPr>
        <w:rPr>
          <w:rFonts w:ascii="Arial" w:hAnsi="Arial" w:cs="Arial"/>
        </w:rPr>
      </w:pPr>
      <w:r w:rsidRPr="78582C71">
        <w:rPr>
          <w:rFonts w:ascii="Arial" w:hAnsi="Arial" w:cs="Arial"/>
        </w:rPr>
        <w:t>Alignment with CMS Meaningful Measures Initiative or MACRA (</w:t>
      </w:r>
      <w:r w:rsidR="008454C5" w:rsidRPr="78582C71">
        <w:rPr>
          <w:rFonts w:ascii="Arial" w:hAnsi="Arial" w:cs="Arial"/>
        </w:rPr>
        <w:t>i</w:t>
      </w:r>
      <w:r w:rsidRPr="78582C71">
        <w:rPr>
          <w:rFonts w:ascii="Arial" w:hAnsi="Arial" w:cs="Arial"/>
        </w:rPr>
        <w:t>f applicable)</w:t>
      </w:r>
      <w:r w:rsidR="001F0309" w:rsidRPr="78582C71">
        <w:rPr>
          <w:rFonts w:ascii="Arial" w:hAnsi="Arial" w:cs="Arial"/>
        </w:rPr>
        <w:t>.</w:t>
      </w:r>
    </w:p>
    <w:p w14:paraId="3344BDB8" w14:textId="06F22C25" w:rsidR="009C166F" w:rsidRPr="003811D9" w:rsidRDefault="009C166F" w:rsidP="009C166F">
      <w:pPr>
        <w:pStyle w:val="ListParagraph"/>
        <w:ind w:left="1440"/>
        <w:rPr>
          <w:rFonts w:ascii="Arial" w:hAnsi="Arial" w:cs="Arial"/>
        </w:rPr>
      </w:pPr>
      <w:r>
        <w:rPr>
          <w:rFonts w:ascii="Arial" w:hAnsi="Arial" w:cs="Arial"/>
        </w:rPr>
        <w:t>Chronic Conditions</w:t>
      </w:r>
    </w:p>
    <w:p w14:paraId="386791AA" w14:textId="4010CF90" w:rsidR="00ED5E4C" w:rsidRDefault="00E3420C" w:rsidP="00ED5E4C">
      <w:pPr>
        <w:pStyle w:val="ListParagraph"/>
        <w:numPr>
          <w:ilvl w:val="0"/>
          <w:numId w:val="4"/>
        </w:numPr>
        <w:rPr>
          <w:rFonts w:ascii="Arial" w:hAnsi="Arial" w:cs="Arial"/>
          <w:iCs/>
        </w:rPr>
      </w:pPr>
      <w:r>
        <w:rPr>
          <w:rFonts w:ascii="Arial" w:hAnsi="Arial" w:cs="Arial"/>
          <w:iCs/>
        </w:rPr>
        <w:t>Relev</w:t>
      </w:r>
      <w:r w:rsidR="00ED5E4C" w:rsidRPr="003811D9">
        <w:rPr>
          <w:rFonts w:ascii="Arial" w:hAnsi="Arial" w:cs="Arial"/>
          <w:iCs/>
        </w:rPr>
        <w:t>ance to MIPS or other CMS programs</w:t>
      </w:r>
      <w:r w:rsidR="001F0309" w:rsidRPr="003811D9">
        <w:rPr>
          <w:rFonts w:ascii="Arial" w:hAnsi="Arial" w:cs="Arial"/>
          <w:iCs/>
        </w:rPr>
        <w:t>.</w:t>
      </w:r>
    </w:p>
    <w:p w14:paraId="649529F8" w14:textId="6468CB5F" w:rsidR="009C166F" w:rsidRPr="003811D9" w:rsidRDefault="009C166F" w:rsidP="009C166F">
      <w:pPr>
        <w:pStyle w:val="ListParagraph"/>
        <w:ind w:left="1440"/>
        <w:rPr>
          <w:rFonts w:ascii="Arial" w:hAnsi="Arial" w:cs="Arial"/>
          <w:iCs/>
        </w:rPr>
      </w:pPr>
      <w:r>
        <w:rPr>
          <w:rFonts w:ascii="Arial" w:hAnsi="Arial" w:cs="Arial"/>
          <w:iCs/>
        </w:rPr>
        <w:t>This measure aligns with the treatment continuum for HCV testing, treatment and eradication.</w:t>
      </w:r>
    </w:p>
    <w:p w14:paraId="784BF3C8" w14:textId="0E55530E" w:rsidR="00ED5E4C" w:rsidRDefault="00ED5E4C" w:rsidP="00ED5E4C">
      <w:pPr>
        <w:pStyle w:val="ListParagraph"/>
        <w:numPr>
          <w:ilvl w:val="0"/>
          <w:numId w:val="4"/>
        </w:numPr>
        <w:rPr>
          <w:rFonts w:ascii="Arial" w:hAnsi="Arial" w:cs="Arial"/>
          <w:iCs/>
        </w:rPr>
      </w:pPr>
      <w:r w:rsidRPr="003811D9">
        <w:rPr>
          <w:rFonts w:ascii="Arial" w:hAnsi="Arial" w:cs="Arial"/>
          <w:iCs/>
        </w:rPr>
        <w:t>Rationale: Use of measure for inclusion in program (specialty society, regional collaborative, other)</w:t>
      </w:r>
      <w:r w:rsidR="001F0309" w:rsidRPr="003811D9">
        <w:rPr>
          <w:rFonts w:ascii="Arial" w:hAnsi="Arial" w:cs="Arial"/>
          <w:iCs/>
        </w:rPr>
        <w:t>.</w:t>
      </w:r>
    </w:p>
    <w:p w14:paraId="61F5EEF0" w14:textId="4E822854" w:rsidR="00D0692B" w:rsidRPr="003811D9" w:rsidRDefault="00D0692B" w:rsidP="00D0692B">
      <w:pPr>
        <w:pStyle w:val="ListParagraph"/>
        <w:ind w:left="1440"/>
        <w:rPr>
          <w:rFonts w:ascii="Arial" w:hAnsi="Arial" w:cs="Arial"/>
          <w:iCs/>
        </w:rPr>
      </w:pPr>
      <w:r>
        <w:rPr>
          <w:rFonts w:ascii="Arial" w:hAnsi="Arial" w:cs="Arial"/>
          <w:iCs/>
        </w:rPr>
        <w:t>This measure is intended to be used in the Quality Payment Program (QPP)</w:t>
      </w:r>
    </w:p>
    <w:p w14:paraId="14D4355F" w14:textId="7A6007A4" w:rsidR="00ED5E4C" w:rsidRDefault="00ED5E4C" w:rsidP="00ED5E4C">
      <w:pPr>
        <w:pStyle w:val="ListParagraph"/>
        <w:numPr>
          <w:ilvl w:val="0"/>
          <w:numId w:val="4"/>
        </w:numPr>
        <w:rPr>
          <w:rFonts w:ascii="Arial" w:hAnsi="Arial" w:cs="Arial"/>
          <w:iCs/>
        </w:rPr>
      </w:pPr>
      <w:r w:rsidRPr="003811D9">
        <w:rPr>
          <w:rFonts w:ascii="Arial" w:hAnsi="Arial" w:cs="Arial"/>
          <w:iCs/>
        </w:rPr>
        <w:t>Public reporting (if applicable)</w:t>
      </w:r>
      <w:r w:rsidR="001F0309" w:rsidRPr="003811D9">
        <w:rPr>
          <w:rFonts w:ascii="Arial" w:hAnsi="Arial" w:cs="Arial"/>
          <w:iCs/>
        </w:rPr>
        <w:t>.</w:t>
      </w:r>
    </w:p>
    <w:p w14:paraId="33D9D24F" w14:textId="45D91D6A" w:rsidR="00D0692B" w:rsidRPr="003811D9" w:rsidRDefault="00D0692B" w:rsidP="00D0692B">
      <w:pPr>
        <w:pStyle w:val="ListParagraph"/>
        <w:ind w:left="1440"/>
        <w:rPr>
          <w:rFonts w:ascii="Arial" w:hAnsi="Arial" w:cs="Arial"/>
          <w:iCs/>
        </w:rPr>
      </w:pPr>
      <w:r>
        <w:rPr>
          <w:rFonts w:ascii="Arial" w:hAnsi="Arial" w:cs="Arial"/>
          <w:iCs/>
        </w:rPr>
        <w:t>N/A</w:t>
      </w:r>
    </w:p>
    <w:p w14:paraId="2C103EC7" w14:textId="69A69A59" w:rsidR="00ED5E4C" w:rsidRPr="009C166F" w:rsidRDefault="00ED5E4C" w:rsidP="00ED5E4C">
      <w:pPr>
        <w:pStyle w:val="ListParagraph"/>
        <w:numPr>
          <w:ilvl w:val="0"/>
          <w:numId w:val="4"/>
        </w:numPr>
        <w:rPr>
          <w:rFonts w:ascii="Arial" w:hAnsi="Arial" w:cs="Arial"/>
          <w:b/>
          <w:iCs/>
        </w:rPr>
      </w:pPr>
      <w:r w:rsidRPr="003811D9">
        <w:rPr>
          <w:rFonts w:ascii="Arial" w:hAnsi="Arial" w:cs="Arial"/>
          <w:iCs/>
        </w:rPr>
        <w:t xml:space="preserve">Preferable relevant </w:t>
      </w:r>
      <w:r w:rsidR="00165747" w:rsidRPr="003811D9">
        <w:rPr>
          <w:rFonts w:ascii="Arial" w:hAnsi="Arial" w:cs="Arial"/>
          <w:iCs/>
        </w:rPr>
        <w:t>p</w:t>
      </w:r>
      <w:r w:rsidRPr="003811D9">
        <w:rPr>
          <w:rFonts w:ascii="Arial" w:hAnsi="Arial" w:cs="Arial"/>
          <w:iCs/>
        </w:rPr>
        <w:t>eer-</w:t>
      </w:r>
      <w:r w:rsidR="00165747" w:rsidRPr="003811D9">
        <w:rPr>
          <w:rFonts w:ascii="Arial" w:hAnsi="Arial" w:cs="Arial"/>
          <w:iCs/>
        </w:rPr>
        <w:t>r</w:t>
      </w:r>
      <w:r w:rsidRPr="003811D9">
        <w:rPr>
          <w:rFonts w:ascii="Arial" w:hAnsi="Arial" w:cs="Arial"/>
          <w:iCs/>
        </w:rPr>
        <w:t xml:space="preserve">eviewed </w:t>
      </w:r>
      <w:r w:rsidR="00165747" w:rsidRPr="003811D9">
        <w:rPr>
          <w:rFonts w:ascii="Arial" w:hAnsi="Arial" w:cs="Arial"/>
          <w:iCs/>
        </w:rPr>
        <w:t>j</w:t>
      </w:r>
      <w:r w:rsidRPr="003811D9">
        <w:rPr>
          <w:rFonts w:ascii="Arial" w:hAnsi="Arial" w:cs="Arial"/>
          <w:iCs/>
        </w:rPr>
        <w:t>ournal for publication</w:t>
      </w:r>
      <w:r w:rsidR="001F0309" w:rsidRPr="003811D9">
        <w:rPr>
          <w:rFonts w:ascii="Arial" w:hAnsi="Arial" w:cs="Arial"/>
          <w:iCs/>
        </w:rPr>
        <w:t>.</w:t>
      </w:r>
    </w:p>
    <w:p w14:paraId="249D7560" w14:textId="1C81F3B9" w:rsidR="009C166F" w:rsidRPr="00A708D6" w:rsidRDefault="009C166F" w:rsidP="009C166F">
      <w:pPr>
        <w:pStyle w:val="ListParagraph"/>
        <w:ind w:left="1440"/>
        <w:rPr>
          <w:rFonts w:ascii="Arial" w:hAnsi="Arial" w:cs="Arial"/>
          <w:b/>
          <w:iCs/>
        </w:rPr>
      </w:pPr>
      <w:r>
        <w:rPr>
          <w:rFonts w:ascii="Arial" w:hAnsi="Arial" w:cs="Arial"/>
          <w:iCs/>
        </w:rPr>
        <w:t>Gastroenterology</w:t>
      </w:r>
    </w:p>
    <w:p w14:paraId="61BE9184" w14:textId="64DC0AD9" w:rsidR="00EE4627" w:rsidRPr="009C166F" w:rsidRDefault="00ED5E4C" w:rsidP="00053C04">
      <w:pPr>
        <w:pStyle w:val="ListParagraph"/>
        <w:numPr>
          <w:ilvl w:val="0"/>
          <w:numId w:val="4"/>
        </w:numPr>
        <w:rPr>
          <w:rFonts w:ascii="Arial" w:hAnsi="Arial" w:cs="Arial"/>
        </w:rPr>
      </w:pPr>
      <w:r w:rsidRPr="003811D9">
        <w:rPr>
          <w:rFonts w:ascii="Arial" w:hAnsi="Arial" w:cs="Arial"/>
          <w:iCs/>
        </w:rPr>
        <w:t xml:space="preserve">Rationale as to how the measure correlates to existing cost measures and improvement activities, as applicable and feasible. </w:t>
      </w:r>
      <w:bookmarkEnd w:id="0"/>
    </w:p>
    <w:p w14:paraId="0C5CF609" w14:textId="5FD63F2D" w:rsidR="009C166F" w:rsidRPr="00053C04" w:rsidRDefault="009C166F" w:rsidP="009C166F">
      <w:pPr>
        <w:pStyle w:val="ListParagraph"/>
        <w:ind w:left="1440"/>
        <w:rPr>
          <w:rFonts w:ascii="Arial" w:hAnsi="Arial" w:cs="Arial"/>
        </w:rPr>
      </w:pPr>
      <w:r>
        <w:rPr>
          <w:rFonts w:ascii="Arial" w:hAnsi="Arial" w:cs="Arial"/>
          <w:iCs/>
        </w:rPr>
        <w:lastRenderedPageBreak/>
        <w:t>There are no cost measures associated with HCV treatment.</w:t>
      </w:r>
    </w:p>
    <w:sectPr w:rsidR="009C166F" w:rsidRPr="00053C04" w:rsidSect="008F4CD4">
      <w:footerReference w:type="default" r:id="rId11"/>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ECB88" w14:textId="77777777" w:rsidR="00096D01" w:rsidRDefault="00096D01">
      <w:pPr>
        <w:spacing w:after="0" w:line="240" w:lineRule="auto"/>
      </w:pPr>
      <w:r>
        <w:separator/>
      </w:r>
    </w:p>
  </w:endnote>
  <w:endnote w:type="continuationSeparator" w:id="0">
    <w:p w14:paraId="093021E6" w14:textId="77777777" w:rsidR="00096D01" w:rsidRDefault="00096D01">
      <w:pPr>
        <w:spacing w:after="0" w:line="240" w:lineRule="auto"/>
      </w:pPr>
      <w:r>
        <w:continuationSeparator/>
      </w:r>
    </w:p>
  </w:endnote>
  <w:endnote w:type="continuationNotice" w:id="1">
    <w:p w14:paraId="5B06FD93" w14:textId="77777777" w:rsidR="00096D01" w:rsidRDefault="00096D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2105229"/>
      <w:docPartObj>
        <w:docPartGallery w:val="Page Numbers (Bottom of Page)"/>
        <w:docPartUnique/>
      </w:docPartObj>
    </w:sdtPr>
    <w:sdtEndPr>
      <w:rPr>
        <w:rFonts w:ascii="Arial" w:hAnsi="Arial" w:cs="Arial"/>
        <w:noProof/>
      </w:rPr>
    </w:sdtEndPr>
    <w:sdtContent>
      <w:p w14:paraId="2C89D41D" w14:textId="4AD861A9" w:rsidR="00F10277" w:rsidRPr="00F10277" w:rsidRDefault="00F10277">
        <w:pPr>
          <w:pStyle w:val="Footer"/>
          <w:jc w:val="right"/>
          <w:rPr>
            <w:rFonts w:ascii="Arial" w:hAnsi="Arial" w:cs="Arial"/>
          </w:rPr>
        </w:pPr>
        <w:r w:rsidRPr="00F10277">
          <w:rPr>
            <w:rFonts w:ascii="Arial" w:hAnsi="Arial" w:cs="Arial"/>
          </w:rPr>
          <w:fldChar w:fldCharType="begin"/>
        </w:r>
        <w:r w:rsidRPr="00F10277">
          <w:rPr>
            <w:rFonts w:ascii="Arial" w:hAnsi="Arial" w:cs="Arial"/>
          </w:rPr>
          <w:instrText xml:space="preserve"> PAGE   \* MERGEFORMAT </w:instrText>
        </w:r>
        <w:r w:rsidRPr="00F10277">
          <w:rPr>
            <w:rFonts w:ascii="Arial" w:hAnsi="Arial" w:cs="Arial"/>
          </w:rPr>
          <w:fldChar w:fldCharType="separate"/>
        </w:r>
        <w:r w:rsidRPr="00F10277">
          <w:rPr>
            <w:rFonts w:ascii="Arial" w:hAnsi="Arial" w:cs="Arial"/>
            <w:noProof/>
          </w:rPr>
          <w:t>2</w:t>
        </w:r>
        <w:r w:rsidRPr="00F10277">
          <w:rPr>
            <w:rFonts w:ascii="Arial" w:hAnsi="Arial" w:cs="Arial"/>
            <w:noProof/>
          </w:rPr>
          <w:fldChar w:fldCharType="end"/>
        </w:r>
      </w:p>
    </w:sdtContent>
  </w:sdt>
  <w:p w14:paraId="27935D3F" w14:textId="0269B678" w:rsidR="006A323C" w:rsidRPr="00FD19B5" w:rsidRDefault="006A323C" w:rsidP="006A323C">
    <w:pPr>
      <w:pStyle w:val="Footer"/>
      <w:tabs>
        <w:tab w:val="clear" w:pos="4680"/>
        <w:tab w:val="clear" w:pos="936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93BD9" w14:textId="77777777" w:rsidR="00096D01" w:rsidRDefault="00096D01">
      <w:pPr>
        <w:spacing w:after="0" w:line="240" w:lineRule="auto"/>
      </w:pPr>
      <w:r>
        <w:separator/>
      </w:r>
    </w:p>
  </w:footnote>
  <w:footnote w:type="continuationSeparator" w:id="0">
    <w:p w14:paraId="35075EC1" w14:textId="77777777" w:rsidR="00096D01" w:rsidRDefault="00096D01">
      <w:pPr>
        <w:spacing w:after="0" w:line="240" w:lineRule="auto"/>
      </w:pPr>
      <w:r>
        <w:continuationSeparator/>
      </w:r>
    </w:p>
  </w:footnote>
  <w:footnote w:type="continuationNotice" w:id="1">
    <w:p w14:paraId="5E94B1CD" w14:textId="77777777" w:rsidR="00096D01" w:rsidRDefault="00096D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06EE8"/>
    <w:multiLevelType w:val="hybridMultilevel"/>
    <w:tmpl w:val="940AA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1163D"/>
    <w:multiLevelType w:val="hybridMultilevel"/>
    <w:tmpl w:val="AE047E64"/>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17C92D80"/>
    <w:multiLevelType w:val="hybridMultilevel"/>
    <w:tmpl w:val="38DA55BC"/>
    <w:lvl w:ilvl="0" w:tplc="8550BE3E">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53C71"/>
    <w:multiLevelType w:val="hybridMultilevel"/>
    <w:tmpl w:val="AA1475F6"/>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 w15:restartNumberingAfterBreak="0">
    <w:nsid w:val="1D685479"/>
    <w:multiLevelType w:val="hybridMultilevel"/>
    <w:tmpl w:val="A32C44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4B841FD"/>
    <w:multiLevelType w:val="hybridMultilevel"/>
    <w:tmpl w:val="3BEE7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2C737DA"/>
    <w:multiLevelType w:val="hybridMultilevel"/>
    <w:tmpl w:val="D75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D1D3FB2"/>
    <w:multiLevelType w:val="hybridMultilevel"/>
    <w:tmpl w:val="F2487022"/>
    <w:lvl w:ilvl="0" w:tplc="04090001">
      <w:start w:val="1"/>
      <w:numFmt w:val="bullet"/>
      <w:lvlText w:val=""/>
      <w:lvlJc w:val="left"/>
      <w:rPr>
        <w:rFonts w:ascii="Symbol" w:hAnsi="Symbol" w:hint="default"/>
        <w:i w:val="0"/>
        <w:i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0234D89"/>
    <w:multiLevelType w:val="hybridMultilevel"/>
    <w:tmpl w:val="A454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A1A0FC2"/>
    <w:multiLevelType w:val="hybridMultilevel"/>
    <w:tmpl w:val="598E34AE"/>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16cid:durableId="1673558054">
    <w:abstractNumId w:val="2"/>
  </w:num>
  <w:num w:numId="2" w16cid:durableId="563374367">
    <w:abstractNumId w:val="9"/>
  </w:num>
  <w:num w:numId="3" w16cid:durableId="1087724512">
    <w:abstractNumId w:val="6"/>
  </w:num>
  <w:num w:numId="4" w16cid:durableId="1903328766">
    <w:abstractNumId w:val="5"/>
  </w:num>
  <w:num w:numId="5" w16cid:durableId="1855028549">
    <w:abstractNumId w:val="7"/>
  </w:num>
  <w:num w:numId="6" w16cid:durableId="2003242591">
    <w:abstractNumId w:val="0"/>
  </w:num>
  <w:num w:numId="7" w16cid:durableId="2067995048">
    <w:abstractNumId w:val="10"/>
  </w:num>
  <w:num w:numId="8" w16cid:durableId="1057706182">
    <w:abstractNumId w:val="11"/>
  </w:num>
  <w:num w:numId="9" w16cid:durableId="1672681407">
    <w:abstractNumId w:val="8"/>
  </w:num>
  <w:num w:numId="10" w16cid:durableId="62534073">
    <w:abstractNumId w:val="4"/>
  </w:num>
  <w:num w:numId="11" w16cid:durableId="1182628175">
    <w:abstractNumId w:val="3"/>
  </w:num>
  <w:num w:numId="12" w16cid:durableId="529803700">
    <w:abstractNumId w:val="1"/>
  </w:num>
  <w:num w:numId="13" w16cid:durableId="4971134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E4C"/>
    <w:rsid w:val="00007404"/>
    <w:rsid w:val="00013C3A"/>
    <w:rsid w:val="00024841"/>
    <w:rsid w:val="000271EB"/>
    <w:rsid w:val="00047133"/>
    <w:rsid w:val="00051D2E"/>
    <w:rsid w:val="00053C04"/>
    <w:rsid w:val="00056AD1"/>
    <w:rsid w:val="00060762"/>
    <w:rsid w:val="00065CCA"/>
    <w:rsid w:val="000836C0"/>
    <w:rsid w:val="00090865"/>
    <w:rsid w:val="00096D01"/>
    <w:rsid w:val="000A212D"/>
    <w:rsid w:val="000C2D23"/>
    <w:rsid w:val="000D0ECA"/>
    <w:rsid w:val="000D4FDF"/>
    <w:rsid w:val="000D560A"/>
    <w:rsid w:val="000D76B5"/>
    <w:rsid w:val="000E03D9"/>
    <w:rsid w:val="000E0DC9"/>
    <w:rsid w:val="000F14ED"/>
    <w:rsid w:val="000F5651"/>
    <w:rsid w:val="00112D25"/>
    <w:rsid w:val="0012611F"/>
    <w:rsid w:val="001314B7"/>
    <w:rsid w:val="001359DA"/>
    <w:rsid w:val="00137259"/>
    <w:rsid w:val="001378A3"/>
    <w:rsid w:val="00137AB1"/>
    <w:rsid w:val="00144B72"/>
    <w:rsid w:val="00165747"/>
    <w:rsid w:val="0016710D"/>
    <w:rsid w:val="001742A6"/>
    <w:rsid w:val="001B04F1"/>
    <w:rsid w:val="001B4031"/>
    <w:rsid w:val="001D353A"/>
    <w:rsid w:val="001F0309"/>
    <w:rsid w:val="001F1DB8"/>
    <w:rsid w:val="001F485D"/>
    <w:rsid w:val="001F5232"/>
    <w:rsid w:val="00216557"/>
    <w:rsid w:val="002439AF"/>
    <w:rsid w:val="002510FD"/>
    <w:rsid w:val="002620C1"/>
    <w:rsid w:val="00272F8C"/>
    <w:rsid w:val="002902AC"/>
    <w:rsid w:val="002942D9"/>
    <w:rsid w:val="002A0780"/>
    <w:rsid w:val="002A6F41"/>
    <w:rsid w:val="002B55FA"/>
    <w:rsid w:val="002B627F"/>
    <w:rsid w:val="002C5CEC"/>
    <w:rsid w:val="002D0A39"/>
    <w:rsid w:val="00305D5D"/>
    <w:rsid w:val="00326F6D"/>
    <w:rsid w:val="00332C94"/>
    <w:rsid w:val="00343915"/>
    <w:rsid w:val="003453F9"/>
    <w:rsid w:val="00350B15"/>
    <w:rsid w:val="00351944"/>
    <w:rsid w:val="003811D9"/>
    <w:rsid w:val="003B4B83"/>
    <w:rsid w:val="003C0773"/>
    <w:rsid w:val="003D5D1A"/>
    <w:rsid w:val="003F0AC2"/>
    <w:rsid w:val="003F2CD9"/>
    <w:rsid w:val="0040040F"/>
    <w:rsid w:val="00423998"/>
    <w:rsid w:val="00434691"/>
    <w:rsid w:val="0045501B"/>
    <w:rsid w:val="004613DD"/>
    <w:rsid w:val="00467CC9"/>
    <w:rsid w:val="00470D30"/>
    <w:rsid w:val="00473986"/>
    <w:rsid w:val="00482149"/>
    <w:rsid w:val="0048407F"/>
    <w:rsid w:val="00486C0A"/>
    <w:rsid w:val="00491B8F"/>
    <w:rsid w:val="0049735E"/>
    <w:rsid w:val="004B0999"/>
    <w:rsid w:val="004E1A76"/>
    <w:rsid w:val="004F7588"/>
    <w:rsid w:val="0052066B"/>
    <w:rsid w:val="0053447D"/>
    <w:rsid w:val="00534B2E"/>
    <w:rsid w:val="00552A8C"/>
    <w:rsid w:val="00571AE2"/>
    <w:rsid w:val="00595824"/>
    <w:rsid w:val="005E2F4E"/>
    <w:rsid w:val="005E6A28"/>
    <w:rsid w:val="00604A15"/>
    <w:rsid w:val="00604D54"/>
    <w:rsid w:val="00624B8F"/>
    <w:rsid w:val="00632F3D"/>
    <w:rsid w:val="0063717F"/>
    <w:rsid w:val="00642EFA"/>
    <w:rsid w:val="00651B47"/>
    <w:rsid w:val="00652A18"/>
    <w:rsid w:val="00652DCE"/>
    <w:rsid w:val="006645A3"/>
    <w:rsid w:val="00665ABA"/>
    <w:rsid w:val="006A00EA"/>
    <w:rsid w:val="006A2EBD"/>
    <w:rsid w:val="006A323C"/>
    <w:rsid w:val="006A4124"/>
    <w:rsid w:val="006A7B4E"/>
    <w:rsid w:val="006C4AB2"/>
    <w:rsid w:val="006C6049"/>
    <w:rsid w:val="006E2BAE"/>
    <w:rsid w:val="006E6323"/>
    <w:rsid w:val="0070163C"/>
    <w:rsid w:val="0071543B"/>
    <w:rsid w:val="00730839"/>
    <w:rsid w:val="00775E0A"/>
    <w:rsid w:val="00784BCE"/>
    <w:rsid w:val="007948B4"/>
    <w:rsid w:val="007A4CB7"/>
    <w:rsid w:val="007D6DFF"/>
    <w:rsid w:val="007E16B6"/>
    <w:rsid w:val="007E69C1"/>
    <w:rsid w:val="008165E6"/>
    <w:rsid w:val="0081726D"/>
    <w:rsid w:val="00822943"/>
    <w:rsid w:val="008454C5"/>
    <w:rsid w:val="008940A6"/>
    <w:rsid w:val="00894D56"/>
    <w:rsid w:val="008A38B4"/>
    <w:rsid w:val="008B0DEA"/>
    <w:rsid w:val="008D028C"/>
    <w:rsid w:val="008D3F3C"/>
    <w:rsid w:val="008D6829"/>
    <w:rsid w:val="008E350F"/>
    <w:rsid w:val="008E66AA"/>
    <w:rsid w:val="008F4CD4"/>
    <w:rsid w:val="008F5551"/>
    <w:rsid w:val="00907F25"/>
    <w:rsid w:val="009210B9"/>
    <w:rsid w:val="00935EA2"/>
    <w:rsid w:val="009436AA"/>
    <w:rsid w:val="009528D6"/>
    <w:rsid w:val="00953BDE"/>
    <w:rsid w:val="00976BD4"/>
    <w:rsid w:val="009879F9"/>
    <w:rsid w:val="00987B8A"/>
    <w:rsid w:val="009A0386"/>
    <w:rsid w:val="009A61BD"/>
    <w:rsid w:val="009B0753"/>
    <w:rsid w:val="009C166F"/>
    <w:rsid w:val="009C78D4"/>
    <w:rsid w:val="009D35FA"/>
    <w:rsid w:val="009E6BA7"/>
    <w:rsid w:val="009E73A4"/>
    <w:rsid w:val="009F34EE"/>
    <w:rsid w:val="009F5C76"/>
    <w:rsid w:val="00A0170E"/>
    <w:rsid w:val="00A13C6E"/>
    <w:rsid w:val="00A208CB"/>
    <w:rsid w:val="00A22963"/>
    <w:rsid w:val="00A24376"/>
    <w:rsid w:val="00A34683"/>
    <w:rsid w:val="00A3539B"/>
    <w:rsid w:val="00A3760F"/>
    <w:rsid w:val="00A46F82"/>
    <w:rsid w:val="00A708D6"/>
    <w:rsid w:val="00A768A3"/>
    <w:rsid w:val="00A77C07"/>
    <w:rsid w:val="00A85098"/>
    <w:rsid w:val="00AA2F68"/>
    <w:rsid w:val="00AB13A5"/>
    <w:rsid w:val="00AD1278"/>
    <w:rsid w:val="00AD3462"/>
    <w:rsid w:val="00AD39EE"/>
    <w:rsid w:val="00AD3DBF"/>
    <w:rsid w:val="00AE16EE"/>
    <w:rsid w:val="00AF0FD1"/>
    <w:rsid w:val="00B112D6"/>
    <w:rsid w:val="00B54BAE"/>
    <w:rsid w:val="00B81F14"/>
    <w:rsid w:val="00BA355E"/>
    <w:rsid w:val="00BA3652"/>
    <w:rsid w:val="00BC69B9"/>
    <w:rsid w:val="00BC7A62"/>
    <w:rsid w:val="00BD1B7E"/>
    <w:rsid w:val="00BD34FD"/>
    <w:rsid w:val="00BF1268"/>
    <w:rsid w:val="00C00243"/>
    <w:rsid w:val="00C05EF9"/>
    <w:rsid w:val="00C16AAF"/>
    <w:rsid w:val="00C20DF3"/>
    <w:rsid w:val="00C448ED"/>
    <w:rsid w:val="00C4710B"/>
    <w:rsid w:val="00C47308"/>
    <w:rsid w:val="00C643B2"/>
    <w:rsid w:val="00CB45B2"/>
    <w:rsid w:val="00CC2D9A"/>
    <w:rsid w:val="00CE6DE8"/>
    <w:rsid w:val="00CF61FC"/>
    <w:rsid w:val="00D0692B"/>
    <w:rsid w:val="00D07A39"/>
    <w:rsid w:val="00D12ACC"/>
    <w:rsid w:val="00D27141"/>
    <w:rsid w:val="00D27768"/>
    <w:rsid w:val="00D30E2D"/>
    <w:rsid w:val="00D50BF8"/>
    <w:rsid w:val="00D5466A"/>
    <w:rsid w:val="00D60F1E"/>
    <w:rsid w:val="00D61594"/>
    <w:rsid w:val="00D63635"/>
    <w:rsid w:val="00D86D62"/>
    <w:rsid w:val="00D86E37"/>
    <w:rsid w:val="00D920F0"/>
    <w:rsid w:val="00DB091A"/>
    <w:rsid w:val="00DB6039"/>
    <w:rsid w:val="00DD1AD4"/>
    <w:rsid w:val="00DE0F9C"/>
    <w:rsid w:val="00DE4ABB"/>
    <w:rsid w:val="00E02E56"/>
    <w:rsid w:val="00E0402A"/>
    <w:rsid w:val="00E3420C"/>
    <w:rsid w:val="00E34CD1"/>
    <w:rsid w:val="00E565BD"/>
    <w:rsid w:val="00E61D38"/>
    <w:rsid w:val="00E6558C"/>
    <w:rsid w:val="00E77C0E"/>
    <w:rsid w:val="00E917E1"/>
    <w:rsid w:val="00E96051"/>
    <w:rsid w:val="00EA06EB"/>
    <w:rsid w:val="00EA7630"/>
    <w:rsid w:val="00ED5E4C"/>
    <w:rsid w:val="00EE0284"/>
    <w:rsid w:val="00EE2172"/>
    <w:rsid w:val="00EE222C"/>
    <w:rsid w:val="00EE4627"/>
    <w:rsid w:val="00F10277"/>
    <w:rsid w:val="00F11F23"/>
    <w:rsid w:val="00F126F9"/>
    <w:rsid w:val="00F2104E"/>
    <w:rsid w:val="00F23077"/>
    <w:rsid w:val="00F37489"/>
    <w:rsid w:val="00F45364"/>
    <w:rsid w:val="00F800E7"/>
    <w:rsid w:val="00F87FB6"/>
    <w:rsid w:val="00FA42B1"/>
    <w:rsid w:val="00FC530E"/>
    <w:rsid w:val="00FE08DC"/>
    <w:rsid w:val="0E4CCD3D"/>
    <w:rsid w:val="1BBFB74E"/>
    <w:rsid w:val="211D164F"/>
    <w:rsid w:val="3574F78B"/>
    <w:rsid w:val="3AEC4C68"/>
    <w:rsid w:val="54012B02"/>
    <w:rsid w:val="634EB130"/>
    <w:rsid w:val="66B65046"/>
    <w:rsid w:val="67A2C46F"/>
    <w:rsid w:val="6F774203"/>
    <w:rsid w:val="75DAD56E"/>
    <w:rsid w:val="78582C71"/>
    <w:rsid w:val="7FBAD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8B8C6"/>
  <w15:chartTrackingRefBased/>
  <w15:docId w15:val="{3AFFA521-20D0-462B-A6F8-EB9FADE9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E4C"/>
  </w:style>
  <w:style w:type="paragraph" w:styleId="Heading1">
    <w:name w:val="heading 1"/>
    <w:basedOn w:val="Normal"/>
    <w:next w:val="Normal"/>
    <w:link w:val="Heading1Char"/>
    <w:uiPriority w:val="9"/>
    <w:qFormat/>
    <w:rsid w:val="00907F25"/>
    <w:pPr>
      <w:keepNext/>
      <w:keepLines/>
      <w:spacing w:before="240" w:after="240" w:line="257"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069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4EE"/>
    <w:pPr>
      <w:ind w:left="720"/>
      <w:contextualSpacing/>
    </w:pPr>
  </w:style>
  <w:style w:type="character" w:styleId="CommentReference">
    <w:name w:val="annotation reference"/>
    <w:basedOn w:val="DefaultParagraphFont"/>
    <w:uiPriority w:val="99"/>
    <w:semiHidden/>
    <w:unhideWhenUsed/>
    <w:rsid w:val="00ED5E4C"/>
    <w:rPr>
      <w:sz w:val="16"/>
      <w:szCs w:val="16"/>
    </w:rPr>
  </w:style>
  <w:style w:type="paragraph" w:styleId="CommentText">
    <w:name w:val="annotation text"/>
    <w:basedOn w:val="Normal"/>
    <w:link w:val="CommentTextChar"/>
    <w:uiPriority w:val="99"/>
    <w:unhideWhenUsed/>
    <w:rsid w:val="00ED5E4C"/>
    <w:pPr>
      <w:spacing w:line="240" w:lineRule="auto"/>
    </w:pPr>
    <w:rPr>
      <w:sz w:val="20"/>
      <w:szCs w:val="20"/>
    </w:rPr>
  </w:style>
  <w:style w:type="character" w:customStyle="1" w:styleId="CommentTextChar">
    <w:name w:val="Comment Text Char"/>
    <w:basedOn w:val="DefaultParagraphFont"/>
    <w:link w:val="CommentText"/>
    <w:uiPriority w:val="99"/>
    <w:rsid w:val="00ED5E4C"/>
    <w:rPr>
      <w:sz w:val="20"/>
      <w:szCs w:val="20"/>
    </w:rPr>
  </w:style>
  <w:style w:type="paragraph" w:styleId="Footer">
    <w:name w:val="footer"/>
    <w:basedOn w:val="Normal"/>
    <w:link w:val="FooterChar"/>
    <w:uiPriority w:val="99"/>
    <w:unhideWhenUsed/>
    <w:rsid w:val="00ED5E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4C"/>
  </w:style>
  <w:style w:type="paragraph" w:styleId="Subtitle">
    <w:name w:val="Subtitle"/>
    <w:basedOn w:val="Normal"/>
    <w:next w:val="Normal"/>
    <w:link w:val="SubtitleChar"/>
    <w:uiPriority w:val="11"/>
    <w:qFormat/>
    <w:rsid w:val="00ED5E4C"/>
    <w:pPr>
      <w:numPr>
        <w:ilvl w:val="1"/>
      </w:numPr>
      <w:jc w:val="center"/>
    </w:pPr>
    <w:rPr>
      <w:rFonts w:ascii="Arial" w:eastAsiaTheme="minorEastAsia" w:hAnsi="Arial"/>
      <w:spacing w:val="15"/>
      <w:sz w:val="24"/>
    </w:rPr>
  </w:style>
  <w:style w:type="character" w:customStyle="1" w:styleId="SubtitleChar">
    <w:name w:val="Subtitle Char"/>
    <w:basedOn w:val="DefaultParagraphFont"/>
    <w:link w:val="Subtitle"/>
    <w:uiPriority w:val="11"/>
    <w:rsid w:val="00ED5E4C"/>
    <w:rPr>
      <w:rFonts w:ascii="Arial" w:eastAsiaTheme="minorEastAsia" w:hAnsi="Arial"/>
      <w:spacing w:val="15"/>
      <w:sz w:val="24"/>
    </w:rPr>
  </w:style>
  <w:style w:type="paragraph" w:styleId="Header">
    <w:name w:val="header"/>
    <w:basedOn w:val="Normal"/>
    <w:link w:val="HeaderChar"/>
    <w:uiPriority w:val="99"/>
    <w:unhideWhenUsed/>
    <w:rsid w:val="006A2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EBD"/>
  </w:style>
  <w:style w:type="paragraph" w:styleId="CommentSubject">
    <w:name w:val="annotation subject"/>
    <w:basedOn w:val="CommentText"/>
    <w:next w:val="CommentText"/>
    <w:link w:val="CommentSubjectChar"/>
    <w:uiPriority w:val="99"/>
    <w:semiHidden/>
    <w:unhideWhenUsed/>
    <w:rsid w:val="006A2EBD"/>
    <w:rPr>
      <w:b/>
      <w:bCs/>
    </w:rPr>
  </w:style>
  <w:style w:type="character" w:customStyle="1" w:styleId="CommentSubjectChar">
    <w:name w:val="Comment Subject Char"/>
    <w:basedOn w:val="CommentTextChar"/>
    <w:link w:val="CommentSubject"/>
    <w:uiPriority w:val="99"/>
    <w:semiHidden/>
    <w:rsid w:val="006A2EBD"/>
    <w:rPr>
      <w:b/>
      <w:bCs/>
      <w:sz w:val="20"/>
      <w:szCs w:val="20"/>
    </w:rPr>
  </w:style>
  <w:style w:type="paragraph" w:styleId="BalloonText">
    <w:name w:val="Balloon Text"/>
    <w:basedOn w:val="Normal"/>
    <w:link w:val="BalloonTextChar"/>
    <w:uiPriority w:val="99"/>
    <w:semiHidden/>
    <w:unhideWhenUsed/>
    <w:rsid w:val="001261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11F"/>
    <w:rPr>
      <w:rFonts w:ascii="Segoe UI" w:hAnsi="Segoe UI" w:cs="Segoe UI"/>
      <w:sz w:val="18"/>
      <w:szCs w:val="18"/>
    </w:rPr>
  </w:style>
  <w:style w:type="paragraph" w:styleId="Revision">
    <w:name w:val="Revision"/>
    <w:hidden/>
    <w:uiPriority w:val="99"/>
    <w:semiHidden/>
    <w:rsid w:val="00AD3462"/>
    <w:pPr>
      <w:spacing w:after="0" w:line="240" w:lineRule="auto"/>
    </w:pPr>
  </w:style>
  <w:style w:type="character" w:styleId="Mention">
    <w:name w:val="Mention"/>
    <w:basedOn w:val="DefaultParagraphFont"/>
    <w:uiPriority w:val="99"/>
    <w:unhideWhenUsed/>
    <w:rsid w:val="00060762"/>
    <w:rPr>
      <w:color w:val="2B579A"/>
      <w:shd w:val="clear" w:color="auto" w:fill="E1DFDD"/>
    </w:rPr>
  </w:style>
  <w:style w:type="character" w:customStyle="1" w:styleId="Heading1Char">
    <w:name w:val="Heading 1 Char"/>
    <w:basedOn w:val="DefaultParagraphFont"/>
    <w:link w:val="Heading1"/>
    <w:uiPriority w:val="9"/>
    <w:rsid w:val="00C002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0692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D0692B"/>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73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145534D507C74EAC226738709DB8A4" ma:contentTypeVersion="22" ma:contentTypeDescription="Create a new document." ma:contentTypeScope="" ma:versionID="03b0892b29042b3a5473af5fae3cf661">
  <xsd:schema xmlns:xsd="http://www.w3.org/2001/XMLSchema" xmlns:xs="http://www.w3.org/2001/XMLSchema" xmlns:p="http://schemas.microsoft.com/office/2006/metadata/properties" xmlns:ns1="http://schemas.microsoft.com/sharepoint/v3" xmlns:ns2="c35090b3-64f1-4528-b25f-c34218e25d33" xmlns:ns3="3a8a1160-485e-4e45-b8cc-3eb60f06e8b9" targetNamespace="http://schemas.microsoft.com/office/2006/metadata/properties" ma:root="true" ma:fieldsID="87e6dbec60f4afdd6fb7e9447f2b861f" ns1:_="" ns2:_="" ns3:_="">
    <xsd:import namespace="http://schemas.microsoft.com/sharepoint/v3"/>
    <xsd:import namespace="c35090b3-64f1-4528-b25f-c34218e25d33"/>
    <xsd:import namespace="3a8a1160-485e-4e45-b8cc-3eb60f06e8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StatusCal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5090b3-64f1-4528-b25f-c34218e25d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8b3b6f2-5499-4909-8bde-6fead195eff4}" ma:internalName="TaxCatchAll" ma:showField="CatchAllData" ma:web="c35090b3-64f1-4528-b25f-c34218e25d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a8a1160-485e-4e45-b8cc-3eb60f06e8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Calls" ma:index="14" nillable="true" ma:displayName="Meetings" ma:format="Dropdown" ma:internalName="StatusCalls">
      <xsd:simpleType>
        <xsd:union memberTypes="dms:Text">
          <xsd:simpleType>
            <xsd:restriction base="dms:Choice">
              <xsd:enumeration value="N/A"/>
              <xsd:enumeration value="Kick off"/>
              <xsd:enumeration value="MVP"/>
              <xsd:enumeration value="COR"/>
              <xsd:enumeration value="Call for Measures"/>
              <xsd:enumeration value="CMS IA Review"/>
              <xsd:enumeration value="IA Stakeholder"/>
              <xsd:enumeration value="IA Team"/>
              <xsd:enumeration value="IA TEP"/>
              <xsd:enumeration value="IBR"/>
              <xsd:enumeration value="Implementation Stakeholder"/>
              <xsd:enumeration value="PI Measure Review"/>
              <xsd:enumeration value="Management Review"/>
              <xsd:enumeration value="QCDR Measure Review"/>
              <xsd:enumeration value="QCDR/QR Kickoff"/>
              <xsd:enumeration value="QCDR/QR Support Call"/>
              <xsd:enumeration value="Choice 17"/>
              <xsd:enumeration value="Rulemaking"/>
              <xsd:enumeration value="Web Interface"/>
            </xsd:restriction>
          </xsd:simpleType>
        </xsd:un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e06253-cc87-4de9-900f-0f4cfde6db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tatusCalls xmlns="3a8a1160-485e-4e45-b8cc-3eb60f06e8b9" xsi:nil="true"/>
    <lcf76f155ced4ddcb4097134ff3c332f xmlns="3a8a1160-485e-4e45-b8cc-3eb60f06e8b9">
      <Terms xmlns="http://schemas.microsoft.com/office/infopath/2007/PartnerControls"/>
    </lcf76f155ced4ddcb4097134ff3c332f>
    <TaxCatchAll xmlns="c35090b3-64f1-4528-b25f-c34218e25d33" xsi:nil="true"/>
  </documentManagement>
</p:properties>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14335518-C5D3-47E1-A76F-09684626E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5090b3-64f1-4528-b25f-c34218e25d33"/>
    <ds:schemaRef ds:uri="3a8a1160-485e-4e45-b8cc-3eb60f06e8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B3276-BFD5-4259-BB44-AF34BA1D5F05}">
  <ds:schemaRefs>
    <ds:schemaRef ds:uri="http://schemas.openxmlformats.org/officeDocument/2006/bibliography"/>
  </ds:schemaRefs>
</ds:datastoreItem>
</file>

<file path=customXml/itemProps3.xml><?xml version="1.0" encoding="utf-8"?>
<ds:datastoreItem xmlns:ds="http://schemas.openxmlformats.org/officeDocument/2006/customXml" ds:itemID="{0018E62F-C527-4A5E-9E53-49D5580FA029}">
  <ds:schemaRefs>
    <ds:schemaRef ds:uri="http://schemas.microsoft.com/office/2006/metadata/properties"/>
    <ds:schemaRef ds:uri="http://schemas.microsoft.com/office/infopath/2007/PartnerControls"/>
    <ds:schemaRef ds:uri="http://schemas.microsoft.com/sharepoint/v3"/>
    <ds:schemaRef ds:uri="3a8a1160-485e-4e45-b8cc-3eb60f06e8b9"/>
    <ds:schemaRef ds:uri="c35090b3-64f1-4528-b25f-c34218e25d33"/>
  </ds:schemaRefs>
</ds:datastoreItem>
</file>

<file path=customXml/itemProps4.xml><?xml version="1.0" encoding="utf-8"?>
<ds:datastoreItem xmlns:ds="http://schemas.openxmlformats.org/officeDocument/2006/customXml" ds:itemID="{8C166FB0-A398-4A14-80AF-F9EB7C7017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2142</Words>
  <Characters>11441</Characters>
  <Application>Microsoft Office Word</Application>
  <DocSecurity>0</DocSecurity>
  <Lines>520</Lines>
  <Paragraphs>301</Paragraphs>
  <ScaleCrop>false</ScaleCrop>
  <HeadingPairs>
    <vt:vector size="2" baseType="variant">
      <vt:variant>
        <vt:lpstr>Title</vt:lpstr>
      </vt:variant>
      <vt:variant>
        <vt:i4>1</vt:i4>
      </vt:variant>
    </vt:vector>
  </HeadingPairs>
  <TitlesOfParts>
    <vt:vector size="1" baseType="lpstr">
      <vt:lpstr>HVC MIPS Peer-Reviewed Article Template</vt:lpstr>
    </vt:vector>
  </TitlesOfParts>
  <Company/>
  <LinksUpToDate>false</LinksUpToDate>
  <CharactersWithSpaces>13282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HVC MIPS Peer-Reviewed Article Template</dc:title>
  <dc:subject/>
  <dc:creator>American Gastroenterological Association</dc:creator>
  <cp:keywords>HVC, MIPS, Hepatitis C, sustained virological response, MERIT, 2024</cp:keywords>
  <dc:description/>
  <cp:lastModifiedBy>Conner, Kelsey (US)</cp:lastModifiedBy>
  <cp:revision>6</cp:revision>
  <dcterms:created xsi:type="dcterms:W3CDTF">2024-04-25T16:59:00Z</dcterms:created>
  <dcterms:modified xsi:type="dcterms:W3CDTF">2024-08-14T18:20:00Z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0x0101003F145534D507C74EAC226738709DB8A4</vt:lpwstr>
  </property>
  <property fmtid="{D5CDD505-2E9C-101B-9397-08002B2CF9AE}" pid="3" name="MediaServiceImageTags">
    <vt:lpwstr/>
  </property>
</Properties>
</file>